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FD" w:rsidRDefault="008C22FD" w:rsidP="008C22FD">
      <w:pPr>
        <w:pStyle w:val="Ttulo2"/>
        <w:jc w:val="center"/>
        <w:rPr>
          <w:lang w:val="es-ES"/>
        </w:rPr>
      </w:pPr>
      <w:r>
        <w:rPr>
          <w:lang w:val="es-ES"/>
        </w:rPr>
        <w:t>Resumen de los principales elementos abordados para el</w:t>
      </w:r>
    </w:p>
    <w:p w:rsidR="008C22FD" w:rsidRDefault="008C22FD" w:rsidP="008C22FD">
      <w:pPr>
        <w:pStyle w:val="Ttulo2"/>
        <w:jc w:val="center"/>
        <w:rPr>
          <w:lang w:val="es-ES"/>
        </w:rPr>
      </w:pPr>
      <w:r>
        <w:rPr>
          <w:lang w:val="es-ES"/>
        </w:rPr>
        <w:t xml:space="preserve"> “Proyecto Fibra Óptica Austral”</w:t>
      </w:r>
    </w:p>
    <w:p w:rsidR="008C22FD" w:rsidRDefault="008C22FD" w:rsidP="008C22FD">
      <w:pPr>
        <w:rPr>
          <w:lang w:val="es-ES"/>
        </w:rPr>
      </w:pPr>
    </w:p>
    <w:p w:rsidR="006F69A8" w:rsidRDefault="00986543" w:rsidP="008C22FD">
      <w:pPr>
        <w:pStyle w:val="Ttulo1"/>
        <w:rPr>
          <w:lang w:val="es-ES"/>
        </w:rPr>
      </w:pPr>
      <w:r>
        <w:rPr>
          <w:lang w:val="es-ES"/>
        </w:rPr>
        <w:t>Co</w:t>
      </w:r>
      <w:r w:rsidR="006F69A8">
        <w:rPr>
          <w:lang w:val="es-ES"/>
        </w:rPr>
        <w:t>ntexto</w:t>
      </w:r>
    </w:p>
    <w:p w:rsidR="005570A0" w:rsidRDefault="005570A0" w:rsidP="00DE432D">
      <w:pPr>
        <w:spacing w:before="0" w:after="0" w:line="240" w:lineRule="auto"/>
        <w:ind w:firstLine="357"/>
        <w:jc w:val="both"/>
      </w:pPr>
    </w:p>
    <w:p w:rsidR="00933F0F" w:rsidRPr="00933F0F" w:rsidRDefault="00933F0F" w:rsidP="00933F0F">
      <w:pPr>
        <w:jc w:val="both"/>
      </w:pPr>
      <w:r w:rsidRPr="00933F0F">
        <w:t xml:space="preserve">El proyecto Fibra Óptica Austral es una iniciativa a ser subsidiada a través del Fondo de Desarrollo de las Telecomunicaciones (FDT), organismo dependiente del Ministerio de Transportes y Telecomunicaciones, cuyo principal objetivo es dotar de infraestructura física de telecomunicaciones en   conectar el territorio sur – austral de nuestro país con las redes troncales de fibra óptica existentes a nivel nacional (ver ilustración N°1). </w:t>
      </w:r>
    </w:p>
    <w:p w:rsidR="00933F0F" w:rsidRPr="00933F0F" w:rsidRDefault="00933F0F" w:rsidP="00933F0F">
      <w:pPr>
        <w:jc w:val="both"/>
      </w:pPr>
      <w:r w:rsidRPr="00933F0F">
        <w:t>Para desarrollar esta importante iniciativa el Estado dispondrá de la entrega de un subsidio máximo en CLP de $64.148.400.000.-  (aproximadamente 100 millones de dólares), destinado a subsidiar a las empresas que construyan, operen y exploten la infraestructura requerida para la implementación de las denominadas Troncal Submarina Austral y las tres Troncales Terrestres, a cada una de las cuales se les otorgará una concesión de servicio intermedio de telecomunicaciones que únicamente provea infraestructura física para telecomunicaciones</w:t>
      </w:r>
      <w:r w:rsidRPr="00933F0F">
        <w:footnoteReference w:id="1"/>
      </w:r>
      <w:r w:rsidRPr="00933F0F">
        <w:t>.</w:t>
      </w:r>
    </w:p>
    <w:p w:rsidR="00933F0F" w:rsidRPr="00933F0F" w:rsidRDefault="00933F0F" w:rsidP="00933F0F">
      <w:pPr>
        <w:jc w:val="both"/>
      </w:pPr>
      <w:r w:rsidRPr="00933F0F">
        <w:t>Para otorgar las concesiones antes señaladas y asignar el antedicho subsidio, se realizará un Concurso Público en el cual sus postulantes deberán considerar la instalación, operación y explotación de infraestructura física para telecomunicaciones, con el objetivo de prestar el Servicio de Infraestructura objeto del Concurso, cuya principal prestación corresponde a la provisión de Canales Ópticos Submarinos y/o Canales Ópticos Terrestres, garantizando un acceso abierto y no discriminatorio a la misma. Asimismo, se deberá considerar la disposición de capacidad de infraestructura para el servicio y uso exclusivo de los organismos públicos a una tarifa preferencial.</w:t>
      </w:r>
    </w:p>
    <w:p w:rsidR="00C34806" w:rsidRDefault="00C34806" w:rsidP="00CC23D0">
      <w:pPr>
        <w:pStyle w:val="NormalWeb"/>
        <w:keepNext/>
        <w:shd w:val="clear" w:color="auto" w:fill="FFFFFF"/>
        <w:spacing w:before="0" w:beforeAutospacing="0" w:after="0" w:afterAutospacing="0"/>
        <w:jc w:val="center"/>
      </w:pPr>
      <w:r>
        <w:rPr>
          <w:rFonts w:asciiTheme="minorHAnsi" w:eastAsiaTheme="minorEastAsia" w:hAnsiTheme="minorHAnsi" w:cstheme="minorBidi"/>
          <w:noProof/>
          <w:sz w:val="20"/>
          <w:szCs w:val="20"/>
        </w:rPr>
        <w:lastRenderedPageBreak/>
        <w:drawing>
          <wp:inline distT="0" distB="0" distL="0" distR="0" wp14:anchorId="0AD09F0F" wp14:editId="0072BE19">
            <wp:extent cx="5434126" cy="7028953"/>
            <wp:effectExtent l="0" t="0" r="0" b="635"/>
            <wp:docPr id="4" name="Imagen 4" descr="\\maipo\GFDT\Departamento de Ingenieria\2017\Mapas Proyecto Fibra\Proyecto Fibra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po\GFDT\Departamento de Ingenieria\2017\Mapas Proyecto Fibra\Proyecto Fibra 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4187" cy="7029032"/>
                    </a:xfrm>
                    <a:prstGeom prst="rect">
                      <a:avLst/>
                    </a:prstGeom>
                    <a:noFill/>
                    <a:ln>
                      <a:noFill/>
                    </a:ln>
                  </pic:spPr>
                </pic:pic>
              </a:graphicData>
            </a:graphic>
          </wp:inline>
        </w:drawing>
      </w:r>
    </w:p>
    <w:p w:rsidR="00C34806" w:rsidRDefault="00C34806" w:rsidP="00C34806">
      <w:pPr>
        <w:pStyle w:val="Descripcin"/>
        <w:jc w:val="center"/>
        <w:rPr>
          <w:sz w:val="20"/>
          <w:szCs w:val="20"/>
        </w:rPr>
      </w:pPr>
      <w:r>
        <w:t xml:space="preserve">Ilustración </w:t>
      </w:r>
      <w:fldSimple w:instr=" SEQ Ilustración \* ARABIC ">
        <w:r w:rsidR="00E84339">
          <w:rPr>
            <w:noProof/>
          </w:rPr>
          <w:t>1</w:t>
        </w:r>
      </w:fldSimple>
      <w:r>
        <w:t>: Proyecto Fibra Óptica Austral</w:t>
      </w:r>
    </w:p>
    <w:p w:rsidR="00DE432D" w:rsidRDefault="00DE432D" w:rsidP="002E2977">
      <w:pPr>
        <w:pStyle w:val="Ttulo1"/>
      </w:pPr>
      <w:r w:rsidRPr="005570A0">
        <w:lastRenderedPageBreak/>
        <w:t>ASPECTOS GENERALES</w:t>
      </w:r>
    </w:p>
    <w:p w:rsidR="005570A0" w:rsidRDefault="005570A0" w:rsidP="005570A0">
      <w:pPr>
        <w:pStyle w:val="NormalWeb"/>
        <w:shd w:val="clear" w:color="auto" w:fill="FFFFFF"/>
        <w:spacing w:before="0" w:beforeAutospacing="0" w:after="0" w:afterAutospacing="0"/>
        <w:jc w:val="both"/>
        <w:rPr>
          <w:rFonts w:asciiTheme="minorHAnsi" w:eastAsiaTheme="minorEastAsia" w:hAnsiTheme="minorHAnsi" w:cstheme="minorBidi"/>
          <w:sz w:val="20"/>
          <w:szCs w:val="20"/>
        </w:rPr>
      </w:pPr>
    </w:p>
    <w:p w:rsidR="009D427F" w:rsidRDefault="00933F0F" w:rsidP="00933F0F">
      <w:pPr>
        <w:jc w:val="both"/>
      </w:pPr>
      <w:r w:rsidRPr="00933F0F">
        <w:t>El Concurso contempla el despliegue de infraestructura física para telecomunicaciones para la implementación de cuatro Proyectos Troncales de Infraestructura Óptica, independientes entre sí, los que —dependiendo del tipo de despliegue considerado— se clasifican en: Troncal Submarina Austral y Troncales Terrestres. Dichas Troncales de Infraestructura Óptica están conformadas por los denominados Puntos de Operación e Interconexión de Infraestructura para Telecomunicaciones (POIIT) y por los Tramos de Infraestructura Óptica para Telecomunicaciones (TRIOT), los cuales —en su conjunto— permiten la provisión del Servicio de Infraestructura, que contempla las siguientes prestaciones que conformarán la denominada Oferta de Servicio de Infraestructura:</w:t>
      </w:r>
    </w:p>
    <w:p w:rsidR="00DE1277" w:rsidRPr="00EC1A89" w:rsidRDefault="00DE1277" w:rsidP="002E2977">
      <w:pPr>
        <w:pStyle w:val="Prrafodelista"/>
        <w:numPr>
          <w:ilvl w:val="0"/>
          <w:numId w:val="19"/>
        </w:numPr>
        <w:spacing w:before="0" w:after="0" w:line="240" w:lineRule="auto"/>
        <w:jc w:val="both"/>
        <w:rPr>
          <w:lang w:eastAsia="en-US"/>
        </w:rPr>
      </w:pPr>
      <w:r w:rsidRPr="00EC1A89">
        <w:rPr>
          <w:lang w:eastAsia="en-US"/>
        </w:rPr>
        <w:t>Provisión de Canales Ópticos</w:t>
      </w:r>
      <w:r>
        <w:rPr>
          <w:lang w:eastAsia="en-US"/>
        </w:rPr>
        <w:t xml:space="preserve"> Submarinos y/o Canales Ópticos Terrestres</w:t>
      </w:r>
      <w:r w:rsidRPr="00EC1A89">
        <w:rPr>
          <w:lang w:eastAsia="en-US"/>
        </w:rPr>
        <w:t xml:space="preserve">, </w:t>
      </w:r>
      <w:r>
        <w:rPr>
          <w:lang w:eastAsia="en-US"/>
        </w:rPr>
        <w:t>según el tipo de Troncal de Infraestructura Óptica a la que se postule</w:t>
      </w:r>
      <w:r w:rsidRPr="00EC1A89">
        <w:rPr>
          <w:lang w:eastAsia="en-US"/>
        </w:rPr>
        <w:t>.</w:t>
      </w:r>
    </w:p>
    <w:p w:rsidR="00DE1277" w:rsidRDefault="00DE1277" w:rsidP="002E2977">
      <w:pPr>
        <w:pStyle w:val="Prrafodelista"/>
        <w:numPr>
          <w:ilvl w:val="0"/>
          <w:numId w:val="19"/>
        </w:numPr>
        <w:spacing w:before="0" w:after="0" w:line="240" w:lineRule="auto"/>
        <w:jc w:val="both"/>
        <w:rPr>
          <w:lang w:eastAsia="en-US"/>
        </w:rPr>
      </w:pPr>
      <w:r w:rsidRPr="00EC1A89">
        <w:t>Alojamiento de Equipos en POIIT</w:t>
      </w:r>
      <w:r w:rsidRPr="00EC1A89">
        <w:rPr>
          <w:lang w:eastAsia="en-US"/>
        </w:rPr>
        <w:t>.</w:t>
      </w:r>
    </w:p>
    <w:p w:rsidR="00DE1277" w:rsidRPr="00EC1A89" w:rsidRDefault="00DE1277" w:rsidP="002E2977">
      <w:pPr>
        <w:pStyle w:val="Prrafodelista"/>
        <w:numPr>
          <w:ilvl w:val="0"/>
          <w:numId w:val="19"/>
        </w:numPr>
        <w:spacing w:before="0" w:after="0" w:line="240" w:lineRule="auto"/>
        <w:jc w:val="both"/>
        <w:rPr>
          <w:lang w:eastAsia="en-US"/>
        </w:rPr>
      </w:pPr>
      <w:r>
        <w:rPr>
          <w:lang w:eastAsia="en-US"/>
        </w:rPr>
        <w:t>Obras Civiles en POIIT.</w:t>
      </w:r>
    </w:p>
    <w:p w:rsidR="00DE1277" w:rsidRDefault="00DE1277" w:rsidP="002E2977">
      <w:pPr>
        <w:pStyle w:val="Prrafodelista"/>
        <w:numPr>
          <w:ilvl w:val="0"/>
          <w:numId w:val="19"/>
        </w:numPr>
        <w:spacing w:before="0" w:after="0" w:line="240" w:lineRule="auto"/>
        <w:jc w:val="both"/>
        <w:rPr>
          <w:lang w:eastAsia="en-US"/>
        </w:rPr>
      </w:pPr>
      <w:r>
        <w:rPr>
          <w:lang w:eastAsia="en-US"/>
        </w:rPr>
        <w:t xml:space="preserve">Supervisión técnica </w:t>
      </w:r>
      <w:r w:rsidRPr="00EC1A89">
        <w:rPr>
          <w:lang w:eastAsia="en-US"/>
        </w:rPr>
        <w:t>de visitas (supervisión y mantenimiento).</w:t>
      </w:r>
    </w:p>
    <w:p w:rsidR="00E97897" w:rsidRDefault="00E97897" w:rsidP="002E2977">
      <w:pPr>
        <w:pStyle w:val="Prrafodelista"/>
        <w:spacing w:before="0" w:after="0" w:line="240" w:lineRule="auto"/>
        <w:jc w:val="both"/>
        <w:rPr>
          <w:lang w:eastAsia="en-US"/>
        </w:rPr>
      </w:pPr>
    </w:p>
    <w:p w:rsidR="004679B5" w:rsidRPr="002E2977" w:rsidRDefault="00ED61C5" w:rsidP="002E2977">
      <w:pPr>
        <w:pStyle w:val="Ttulo3"/>
      </w:pPr>
      <w:r w:rsidRPr="002E2977">
        <w:t>Proyecto Troncal Submarina Austral</w:t>
      </w:r>
    </w:p>
    <w:p w:rsidR="00933F0F" w:rsidRDefault="00933F0F" w:rsidP="00933F0F">
      <w:r>
        <w:t>Esta Troncal se inicia en Puerto Williams y termina en Puerto Montt, siendo obligatoria la construcción de POIIT en:</w:t>
      </w:r>
    </w:p>
    <w:p w:rsidR="00933F0F" w:rsidRDefault="00933F0F" w:rsidP="00933F0F">
      <w:pPr>
        <w:pStyle w:val="Prrafodelista"/>
        <w:numPr>
          <w:ilvl w:val="0"/>
          <w:numId w:val="19"/>
        </w:numPr>
        <w:spacing w:before="0" w:after="0" w:line="240" w:lineRule="auto"/>
        <w:jc w:val="both"/>
        <w:rPr>
          <w:lang w:eastAsia="en-US"/>
        </w:rPr>
      </w:pPr>
      <w:r>
        <w:rPr>
          <w:lang w:eastAsia="en-US"/>
        </w:rPr>
        <w:t>Puerto Williams, Región de Magallanes</w:t>
      </w:r>
    </w:p>
    <w:p w:rsidR="00933F0F" w:rsidRDefault="00933F0F" w:rsidP="00933F0F">
      <w:pPr>
        <w:pStyle w:val="Prrafodelista"/>
        <w:numPr>
          <w:ilvl w:val="0"/>
          <w:numId w:val="19"/>
        </w:numPr>
        <w:spacing w:before="0" w:after="0" w:line="240" w:lineRule="auto"/>
        <w:jc w:val="both"/>
        <w:rPr>
          <w:lang w:eastAsia="en-US"/>
        </w:rPr>
      </w:pPr>
      <w:r>
        <w:rPr>
          <w:lang w:eastAsia="en-US"/>
        </w:rPr>
        <w:t>Punta Arenas, Región de Magallanes</w:t>
      </w:r>
    </w:p>
    <w:p w:rsidR="00933F0F" w:rsidRDefault="00933F0F" w:rsidP="00933F0F">
      <w:pPr>
        <w:pStyle w:val="Prrafodelista"/>
        <w:numPr>
          <w:ilvl w:val="0"/>
          <w:numId w:val="19"/>
        </w:numPr>
        <w:spacing w:before="0" w:after="0" w:line="240" w:lineRule="auto"/>
        <w:jc w:val="both"/>
        <w:rPr>
          <w:lang w:eastAsia="en-US"/>
        </w:rPr>
      </w:pPr>
      <w:r>
        <w:rPr>
          <w:lang w:eastAsia="en-US"/>
        </w:rPr>
        <w:t xml:space="preserve">Caleta Tortel, Región de Aysén </w:t>
      </w:r>
    </w:p>
    <w:p w:rsidR="00933F0F" w:rsidRDefault="00933F0F" w:rsidP="00933F0F">
      <w:pPr>
        <w:pStyle w:val="Prrafodelista"/>
        <w:numPr>
          <w:ilvl w:val="0"/>
          <w:numId w:val="19"/>
        </w:numPr>
        <w:spacing w:before="0" w:after="0" w:line="240" w:lineRule="auto"/>
        <w:jc w:val="both"/>
        <w:rPr>
          <w:lang w:eastAsia="en-US"/>
        </w:rPr>
      </w:pPr>
      <w:r>
        <w:rPr>
          <w:lang w:eastAsia="en-US"/>
        </w:rPr>
        <w:t>Puerto Montt, Región de los Lagos</w:t>
      </w:r>
    </w:p>
    <w:p w:rsidR="00933F0F" w:rsidRDefault="00933F0F" w:rsidP="00933F0F">
      <w:pPr>
        <w:jc w:val="both"/>
      </w:pPr>
      <w:r>
        <w:t xml:space="preserve">El trazado de la Troncal Submarina Austral deberá ser preferentemente submarino y desplegado de forma íntegra por territorio nacional, pudiendo considerarse la instalación por tierra de una longitud total de cable de fibra óptica no superior a los 450 [km]. El servicio principal a comercializar corresponde al arriendo de Canales Ópticos Submarinos, esto es, un par de canales, caracterizados por una determinada frecuencia central y un Ancho de Banda determinado, los cuales deberán permitir el transporte bidireccional de las unidades de transporte óptico OTU-k (OTU-1, OTU-2, OTU-3, OTU-4 y </w:t>
      </w:r>
      <w:proofErr w:type="spellStart"/>
      <w:r>
        <w:t>OTUCn</w:t>
      </w:r>
      <w:proofErr w:type="spellEnd"/>
      <w:r>
        <w:t>), además de las jerarquías de velocidad sincrónica STM-16, STM-64 y STM-256, y de los estándares 10GbE, 40GbE y 100GbE, entre otros.</w:t>
      </w:r>
    </w:p>
    <w:p w:rsidR="00933F0F" w:rsidRDefault="00933F0F" w:rsidP="00933F0F">
      <w:pPr>
        <w:jc w:val="both"/>
      </w:pPr>
      <w:r>
        <w:t>Las capacidades y equipamientos iniciales se deben implementar gradualmente en relación a la demanda efectiva de los Clientes. No es necesario contar con todas las tarjetas de línea activadas para solicitar la recepción de obras. Las únicas tarjetas que deberán estar instaladas serán las correspondientes a las contraprestaciones del Concurso.</w:t>
      </w:r>
    </w:p>
    <w:p w:rsidR="00933F0F" w:rsidRDefault="00933F0F" w:rsidP="00933F0F">
      <w:pPr>
        <w:jc w:val="both"/>
      </w:pPr>
    </w:p>
    <w:p w:rsidR="00416C80" w:rsidRPr="002E2977" w:rsidRDefault="00416C80" w:rsidP="002E2977">
      <w:pPr>
        <w:pStyle w:val="Ttulo3"/>
      </w:pPr>
      <w:r w:rsidRPr="002E2977">
        <w:lastRenderedPageBreak/>
        <w:t>Proyecto Troncal</w:t>
      </w:r>
      <w:r w:rsidR="005E6B1F">
        <w:t xml:space="preserve"> terrestre</w:t>
      </w:r>
      <w:r w:rsidRPr="002E2977">
        <w:t xml:space="preserve"> Magallanes</w:t>
      </w:r>
    </w:p>
    <w:p w:rsidR="00EB42DD" w:rsidRDefault="00EB42DD" w:rsidP="00DE432D">
      <w:pPr>
        <w:pStyle w:val="NormalWeb"/>
        <w:shd w:val="clear" w:color="auto" w:fill="FFFFFF"/>
        <w:spacing w:before="0" w:beforeAutospacing="0" w:after="0" w:afterAutospacing="0"/>
        <w:jc w:val="both"/>
        <w:rPr>
          <w:rFonts w:asciiTheme="minorHAnsi" w:eastAsiaTheme="minorEastAsia" w:hAnsiTheme="minorHAnsi" w:cstheme="minorBidi"/>
          <w:sz w:val="20"/>
          <w:szCs w:val="20"/>
        </w:rPr>
      </w:pPr>
    </w:p>
    <w:p w:rsidR="00933F0F" w:rsidRDefault="00933F0F" w:rsidP="00933F0F">
      <w:pPr>
        <w:jc w:val="both"/>
      </w:pPr>
      <w:r w:rsidRPr="00933F0F">
        <w:t>Esta Troncal considera cuatro POIIT  Exigibles en las siguientes localidades de la Región de Magallanes:</w:t>
      </w:r>
    </w:p>
    <w:p w:rsidR="00933F0F" w:rsidRDefault="00933F0F" w:rsidP="00933F0F">
      <w:pPr>
        <w:pStyle w:val="Prrafodelista"/>
        <w:numPr>
          <w:ilvl w:val="0"/>
          <w:numId w:val="19"/>
        </w:numPr>
        <w:spacing w:before="0" w:after="0" w:line="240" w:lineRule="auto"/>
        <w:jc w:val="both"/>
        <w:rPr>
          <w:lang w:eastAsia="en-US"/>
        </w:rPr>
      </w:pPr>
      <w:r>
        <w:rPr>
          <w:lang w:eastAsia="en-US"/>
        </w:rPr>
        <w:t>Punta Arenas</w:t>
      </w:r>
    </w:p>
    <w:p w:rsidR="00933F0F" w:rsidRDefault="00933F0F" w:rsidP="00933F0F">
      <w:pPr>
        <w:pStyle w:val="Prrafodelista"/>
        <w:numPr>
          <w:ilvl w:val="0"/>
          <w:numId w:val="19"/>
        </w:numPr>
        <w:spacing w:before="0" w:after="0" w:line="240" w:lineRule="auto"/>
        <w:jc w:val="both"/>
        <w:rPr>
          <w:lang w:eastAsia="en-US"/>
        </w:rPr>
      </w:pPr>
      <w:r>
        <w:rPr>
          <w:lang w:eastAsia="en-US"/>
        </w:rPr>
        <w:t>Porvenir</w:t>
      </w:r>
    </w:p>
    <w:p w:rsidR="00933F0F" w:rsidRDefault="00933F0F" w:rsidP="00933F0F">
      <w:pPr>
        <w:pStyle w:val="Prrafodelista"/>
        <w:numPr>
          <w:ilvl w:val="0"/>
          <w:numId w:val="19"/>
        </w:numPr>
        <w:spacing w:before="0" w:after="0" w:line="240" w:lineRule="auto"/>
        <w:jc w:val="both"/>
        <w:rPr>
          <w:lang w:eastAsia="en-US"/>
        </w:rPr>
      </w:pPr>
      <w:r>
        <w:rPr>
          <w:lang w:eastAsia="en-US"/>
        </w:rPr>
        <w:t>Cerro Sombrero</w:t>
      </w:r>
    </w:p>
    <w:p w:rsidR="00933F0F" w:rsidRDefault="00933F0F" w:rsidP="00933F0F">
      <w:pPr>
        <w:pStyle w:val="Prrafodelista"/>
        <w:numPr>
          <w:ilvl w:val="0"/>
          <w:numId w:val="19"/>
        </w:numPr>
        <w:spacing w:before="0" w:after="0" w:line="240" w:lineRule="auto"/>
        <w:jc w:val="both"/>
        <w:rPr>
          <w:lang w:eastAsia="en-US"/>
        </w:rPr>
      </w:pPr>
      <w:r>
        <w:rPr>
          <w:lang w:eastAsia="en-US"/>
        </w:rPr>
        <w:t>Pampa Guanaco</w:t>
      </w:r>
    </w:p>
    <w:p w:rsidR="00933F0F" w:rsidRDefault="00933F0F" w:rsidP="00933F0F">
      <w:pPr>
        <w:spacing w:before="0" w:after="0" w:line="240" w:lineRule="auto"/>
        <w:jc w:val="both"/>
        <w:rPr>
          <w:lang w:eastAsia="en-US"/>
        </w:rPr>
      </w:pPr>
    </w:p>
    <w:p w:rsidR="00933F0F" w:rsidRDefault="00933F0F" w:rsidP="00933F0F">
      <w:pPr>
        <w:spacing w:before="0" w:after="0" w:line="240" w:lineRule="auto"/>
        <w:jc w:val="both"/>
        <w:rPr>
          <w:lang w:eastAsia="en-US"/>
        </w:rPr>
      </w:pPr>
      <w:r>
        <w:rPr>
          <w:lang w:eastAsia="en-US"/>
        </w:rPr>
        <w:t>Asimismo, para esta Troncal se posibilita que las Proponentes consideren POIIT Adicionales a los ya indicados, los cuales otorgarán a su oferta un mayor puntaje al momento de la evaluación. Así los POIIT Adicionales que las oferentes podrán consideran son:</w:t>
      </w:r>
    </w:p>
    <w:p w:rsidR="00933F0F" w:rsidRDefault="00933F0F" w:rsidP="00933F0F">
      <w:pPr>
        <w:spacing w:before="0" w:after="0" w:line="240" w:lineRule="auto"/>
        <w:jc w:val="both"/>
        <w:rPr>
          <w:lang w:eastAsia="en-US"/>
        </w:rPr>
      </w:pPr>
    </w:p>
    <w:p w:rsidR="00933F0F" w:rsidRDefault="00933F0F" w:rsidP="00933F0F">
      <w:pPr>
        <w:pStyle w:val="Prrafodelista"/>
        <w:numPr>
          <w:ilvl w:val="0"/>
          <w:numId w:val="19"/>
        </w:numPr>
        <w:spacing w:before="0" w:after="0" w:line="240" w:lineRule="auto"/>
        <w:jc w:val="both"/>
        <w:rPr>
          <w:lang w:eastAsia="en-US"/>
        </w:rPr>
      </w:pPr>
      <w:proofErr w:type="spellStart"/>
      <w:r>
        <w:rPr>
          <w:lang w:eastAsia="en-US"/>
        </w:rPr>
        <w:t>Onaisin</w:t>
      </w:r>
      <w:proofErr w:type="spellEnd"/>
    </w:p>
    <w:p w:rsidR="00933F0F" w:rsidRDefault="00933F0F" w:rsidP="00933F0F">
      <w:pPr>
        <w:pStyle w:val="Prrafodelista"/>
        <w:numPr>
          <w:ilvl w:val="0"/>
          <w:numId w:val="19"/>
        </w:numPr>
        <w:spacing w:before="0" w:after="0" w:line="240" w:lineRule="auto"/>
        <w:jc w:val="both"/>
        <w:rPr>
          <w:lang w:eastAsia="en-US"/>
        </w:rPr>
      </w:pPr>
      <w:r>
        <w:rPr>
          <w:lang w:eastAsia="en-US"/>
        </w:rPr>
        <w:t>Camerón</w:t>
      </w:r>
    </w:p>
    <w:p w:rsidR="00933F0F" w:rsidRDefault="00933F0F" w:rsidP="00933F0F">
      <w:pPr>
        <w:pStyle w:val="Prrafodelista"/>
        <w:numPr>
          <w:ilvl w:val="0"/>
          <w:numId w:val="19"/>
        </w:numPr>
        <w:spacing w:before="0" w:after="0" w:line="240" w:lineRule="auto"/>
        <w:jc w:val="both"/>
        <w:rPr>
          <w:lang w:eastAsia="en-US"/>
        </w:rPr>
      </w:pPr>
      <w:r>
        <w:rPr>
          <w:lang w:eastAsia="en-US"/>
        </w:rPr>
        <w:t>San Sebastián</w:t>
      </w:r>
    </w:p>
    <w:p w:rsidR="00933F0F" w:rsidRDefault="00933F0F" w:rsidP="00933F0F">
      <w:pPr>
        <w:pStyle w:val="Prrafodelista"/>
        <w:numPr>
          <w:ilvl w:val="0"/>
          <w:numId w:val="19"/>
        </w:numPr>
        <w:spacing w:before="0" w:after="0" w:line="240" w:lineRule="auto"/>
        <w:jc w:val="both"/>
        <w:rPr>
          <w:lang w:eastAsia="en-US"/>
        </w:rPr>
      </w:pPr>
      <w:r>
        <w:rPr>
          <w:lang w:eastAsia="en-US"/>
        </w:rPr>
        <w:t>Puerto Natales</w:t>
      </w:r>
    </w:p>
    <w:p w:rsidR="00933F0F" w:rsidRDefault="00933F0F" w:rsidP="00933F0F">
      <w:pPr>
        <w:spacing w:before="0" w:after="0" w:line="240" w:lineRule="auto"/>
        <w:jc w:val="both"/>
        <w:rPr>
          <w:lang w:eastAsia="en-US"/>
        </w:rPr>
      </w:pPr>
    </w:p>
    <w:p w:rsidR="00933F0F" w:rsidRPr="008D2E96" w:rsidRDefault="00933F0F" w:rsidP="00933F0F">
      <w:pPr>
        <w:pStyle w:val="Ttulo3"/>
        <w:rPr>
          <w:rFonts w:cstheme="minorHAnsi"/>
          <w:szCs w:val="20"/>
        </w:rPr>
      </w:pPr>
      <w:r w:rsidRPr="00C1535C">
        <w:rPr>
          <w:rFonts w:cstheme="minorHAnsi"/>
          <w:szCs w:val="20"/>
        </w:rPr>
        <w:t>Proyecto Troncal</w:t>
      </w:r>
      <w:r>
        <w:rPr>
          <w:rFonts w:cstheme="minorHAnsi"/>
          <w:szCs w:val="20"/>
        </w:rPr>
        <w:t xml:space="preserve"> Terrestre</w:t>
      </w:r>
      <w:r w:rsidRPr="00C1535C">
        <w:rPr>
          <w:rFonts w:cstheme="minorHAnsi"/>
          <w:szCs w:val="20"/>
        </w:rPr>
        <w:t xml:space="preserve"> Ays</w:t>
      </w:r>
      <w:r w:rsidRPr="008D2E96">
        <w:rPr>
          <w:rFonts w:cstheme="minorHAnsi"/>
          <w:szCs w:val="20"/>
        </w:rPr>
        <w:t>én</w:t>
      </w:r>
    </w:p>
    <w:p w:rsidR="00933F0F" w:rsidRDefault="00933F0F" w:rsidP="00933F0F">
      <w:r>
        <w:t>La Troncal Aysén contempla 12 POIIT  Exigibles en las siguientes localidades de la Región de Aysén:</w:t>
      </w:r>
    </w:p>
    <w:p w:rsidR="00933F0F" w:rsidRDefault="00933F0F" w:rsidP="00933F0F">
      <w:pPr>
        <w:spacing w:before="0" w:after="0" w:line="240" w:lineRule="auto"/>
      </w:pPr>
      <w:r>
        <w:t>•</w:t>
      </w:r>
      <w:r>
        <w:tab/>
        <w:t>Tortel</w:t>
      </w:r>
    </w:p>
    <w:p w:rsidR="00933F0F" w:rsidRDefault="00933F0F" w:rsidP="00933F0F">
      <w:pPr>
        <w:spacing w:before="0" w:after="0" w:line="240" w:lineRule="auto"/>
      </w:pPr>
      <w:r>
        <w:t>•</w:t>
      </w:r>
      <w:r>
        <w:tab/>
        <w:t>Los Ñadis</w:t>
      </w:r>
    </w:p>
    <w:p w:rsidR="00933F0F" w:rsidRDefault="00933F0F" w:rsidP="00933F0F">
      <w:pPr>
        <w:spacing w:before="0" w:after="0" w:line="240" w:lineRule="auto"/>
      </w:pPr>
      <w:r>
        <w:t>•</w:t>
      </w:r>
      <w:r>
        <w:tab/>
        <w:t>Cochrane</w:t>
      </w:r>
    </w:p>
    <w:p w:rsidR="00933F0F" w:rsidRDefault="00933F0F" w:rsidP="00933F0F">
      <w:pPr>
        <w:spacing w:before="0" w:after="0" w:line="240" w:lineRule="auto"/>
      </w:pPr>
      <w:r>
        <w:t>•</w:t>
      </w:r>
      <w:r>
        <w:tab/>
        <w:t>Puerto Bernard</w:t>
      </w:r>
    </w:p>
    <w:p w:rsidR="00933F0F" w:rsidRDefault="00933F0F" w:rsidP="00933F0F">
      <w:pPr>
        <w:spacing w:before="0" w:after="0" w:line="240" w:lineRule="auto"/>
      </w:pPr>
      <w:r>
        <w:t>•</w:t>
      </w:r>
      <w:r>
        <w:tab/>
        <w:t>Puerto Guadal</w:t>
      </w:r>
    </w:p>
    <w:p w:rsidR="00933F0F" w:rsidRDefault="00933F0F" w:rsidP="00933F0F">
      <w:pPr>
        <w:spacing w:before="0" w:after="0" w:line="240" w:lineRule="auto"/>
      </w:pPr>
      <w:r>
        <w:t>•</w:t>
      </w:r>
      <w:r>
        <w:tab/>
        <w:t>Mallín Grande</w:t>
      </w:r>
    </w:p>
    <w:p w:rsidR="00933F0F" w:rsidRDefault="00933F0F" w:rsidP="00933F0F">
      <w:pPr>
        <w:spacing w:before="0" w:after="0" w:line="240" w:lineRule="auto"/>
      </w:pPr>
      <w:r>
        <w:t>•</w:t>
      </w:r>
      <w:r>
        <w:tab/>
        <w:t>Chile Chico</w:t>
      </w:r>
    </w:p>
    <w:p w:rsidR="00933F0F" w:rsidRDefault="00933F0F" w:rsidP="00933F0F">
      <w:pPr>
        <w:spacing w:before="0" w:after="0" w:line="240" w:lineRule="auto"/>
      </w:pPr>
      <w:r>
        <w:t>•</w:t>
      </w:r>
      <w:r>
        <w:tab/>
        <w:t>Puerto Río Tranquilo</w:t>
      </w:r>
    </w:p>
    <w:p w:rsidR="00933F0F" w:rsidRDefault="00933F0F" w:rsidP="00933F0F">
      <w:pPr>
        <w:spacing w:before="0" w:after="0" w:line="240" w:lineRule="auto"/>
      </w:pPr>
      <w:r>
        <w:t>•</w:t>
      </w:r>
      <w:r>
        <w:tab/>
        <w:t>Bahía Murta</w:t>
      </w:r>
    </w:p>
    <w:p w:rsidR="00933F0F" w:rsidRDefault="00933F0F" w:rsidP="00933F0F">
      <w:pPr>
        <w:spacing w:before="0" w:after="0" w:line="240" w:lineRule="auto"/>
      </w:pPr>
      <w:r>
        <w:t>•</w:t>
      </w:r>
      <w:r>
        <w:tab/>
        <w:t>Cerro Castillo</w:t>
      </w:r>
    </w:p>
    <w:p w:rsidR="00933F0F" w:rsidRDefault="00933F0F" w:rsidP="00933F0F">
      <w:pPr>
        <w:spacing w:before="0" w:after="0" w:line="240" w:lineRule="auto"/>
      </w:pPr>
      <w:r>
        <w:t>•</w:t>
      </w:r>
      <w:r>
        <w:tab/>
        <w:t>El Blanco</w:t>
      </w:r>
    </w:p>
    <w:p w:rsidR="00933F0F" w:rsidRDefault="00933F0F" w:rsidP="00933F0F">
      <w:pPr>
        <w:spacing w:before="0" w:after="0" w:line="240" w:lineRule="auto"/>
      </w:pPr>
      <w:r>
        <w:t>•</w:t>
      </w:r>
      <w:r>
        <w:tab/>
        <w:t>Coyhaique</w:t>
      </w:r>
    </w:p>
    <w:p w:rsidR="00933F0F" w:rsidRDefault="00933F0F" w:rsidP="00CC23D0">
      <w:pPr>
        <w:jc w:val="both"/>
      </w:pPr>
      <w:r>
        <w:t>Asimismo, para esta Troncal se posibilita que las Proponentes consideren POIIT Adicionales a los ya indicados los cuales otorgarán a su oferta un mayor puntaje al momento de la evaluación. Así los POIIT Adicionales que las oferentes podrán consideran son:</w:t>
      </w:r>
    </w:p>
    <w:p w:rsidR="00933F0F" w:rsidRDefault="00933F0F" w:rsidP="00933F0F">
      <w:pPr>
        <w:spacing w:before="0" w:after="0" w:line="240" w:lineRule="auto"/>
      </w:pPr>
      <w:r>
        <w:t>•</w:t>
      </w:r>
      <w:r>
        <w:tab/>
        <w:t>Villa O’Higgins</w:t>
      </w:r>
    </w:p>
    <w:p w:rsidR="00933F0F" w:rsidRDefault="00933F0F" w:rsidP="00933F0F">
      <w:pPr>
        <w:spacing w:before="0" w:after="0" w:line="240" w:lineRule="auto"/>
      </w:pPr>
      <w:r>
        <w:t>•</w:t>
      </w:r>
      <w:r>
        <w:tab/>
        <w:t>Puerto Sánchez</w:t>
      </w:r>
    </w:p>
    <w:p w:rsidR="00933F0F" w:rsidRDefault="00933F0F" w:rsidP="00933F0F">
      <w:pPr>
        <w:spacing w:before="0" w:after="0" w:line="240" w:lineRule="auto"/>
      </w:pPr>
      <w:r>
        <w:t>•</w:t>
      </w:r>
      <w:r>
        <w:tab/>
        <w:t>Puerto Ingeniero Ibáñez</w:t>
      </w:r>
    </w:p>
    <w:p w:rsidR="00933F0F" w:rsidRDefault="00933F0F" w:rsidP="00933F0F">
      <w:pPr>
        <w:spacing w:before="0" w:after="0" w:line="240" w:lineRule="auto"/>
      </w:pPr>
      <w:r>
        <w:t>•</w:t>
      </w:r>
      <w:r>
        <w:tab/>
        <w:t>Balmaceda</w:t>
      </w:r>
    </w:p>
    <w:p w:rsidR="00933F0F" w:rsidRDefault="00933F0F" w:rsidP="00933F0F">
      <w:pPr>
        <w:spacing w:before="0" w:after="0" w:line="240" w:lineRule="auto"/>
      </w:pPr>
    </w:p>
    <w:p w:rsidR="00933F0F" w:rsidRDefault="00933F0F" w:rsidP="00933F0F">
      <w:pPr>
        <w:spacing w:before="0" w:after="0" w:line="240" w:lineRule="auto"/>
      </w:pPr>
    </w:p>
    <w:p w:rsidR="00933F0F" w:rsidRPr="002E2977" w:rsidRDefault="00933F0F" w:rsidP="00933F0F">
      <w:pPr>
        <w:pStyle w:val="Ttulo3"/>
      </w:pPr>
      <w:r w:rsidRPr="002E2977">
        <w:t>Proyecto Troncal</w:t>
      </w:r>
      <w:r>
        <w:t xml:space="preserve"> terrestre</w:t>
      </w:r>
      <w:r w:rsidRPr="002E2977">
        <w:t xml:space="preserve"> Los Lagos</w:t>
      </w:r>
    </w:p>
    <w:p w:rsidR="00933F0F" w:rsidRDefault="00933F0F" w:rsidP="00933F0F">
      <w:pPr>
        <w:spacing w:before="0" w:after="0" w:line="240" w:lineRule="auto"/>
      </w:pPr>
      <w:r w:rsidRPr="00933F0F">
        <w:t>La Troncal contempla 10 POIIT Exigibles en las siguientes localidades de la Región de los Lagos:</w:t>
      </w:r>
    </w:p>
    <w:p w:rsidR="00CC23D0" w:rsidRDefault="00CC23D0" w:rsidP="00933F0F">
      <w:pPr>
        <w:spacing w:before="0" w:after="0" w:line="240" w:lineRule="auto"/>
      </w:pPr>
    </w:p>
    <w:p w:rsidR="00933F0F" w:rsidRDefault="00933F0F" w:rsidP="00933F0F">
      <w:pPr>
        <w:spacing w:before="0" w:after="0" w:line="240" w:lineRule="auto"/>
      </w:pPr>
      <w:r>
        <w:t>•</w:t>
      </w:r>
      <w:r>
        <w:tab/>
        <w:t>Puerto Montt</w:t>
      </w:r>
    </w:p>
    <w:p w:rsidR="00933F0F" w:rsidRDefault="00933F0F" w:rsidP="00933F0F">
      <w:pPr>
        <w:spacing w:before="0" w:after="0" w:line="240" w:lineRule="auto"/>
      </w:pPr>
      <w:r>
        <w:t>•</w:t>
      </w:r>
      <w:r>
        <w:tab/>
        <w:t>Alerce</w:t>
      </w:r>
    </w:p>
    <w:p w:rsidR="00933F0F" w:rsidRDefault="00933F0F" w:rsidP="00933F0F">
      <w:pPr>
        <w:spacing w:before="0" w:after="0" w:line="240" w:lineRule="auto"/>
      </w:pPr>
      <w:r>
        <w:t>•</w:t>
      </w:r>
      <w:r>
        <w:tab/>
        <w:t>Ensenada</w:t>
      </w:r>
    </w:p>
    <w:p w:rsidR="00933F0F" w:rsidRDefault="00933F0F" w:rsidP="00933F0F">
      <w:pPr>
        <w:spacing w:before="0" w:after="0" w:line="240" w:lineRule="auto"/>
      </w:pPr>
      <w:r>
        <w:t>•</w:t>
      </w:r>
      <w:r>
        <w:tab/>
      </w:r>
      <w:proofErr w:type="spellStart"/>
      <w:r>
        <w:t>Ralún</w:t>
      </w:r>
      <w:proofErr w:type="spellEnd"/>
    </w:p>
    <w:p w:rsidR="00933F0F" w:rsidRDefault="00933F0F" w:rsidP="00933F0F">
      <w:pPr>
        <w:spacing w:before="0" w:after="0" w:line="240" w:lineRule="auto"/>
      </w:pPr>
      <w:r>
        <w:t>•</w:t>
      </w:r>
      <w:r>
        <w:tab/>
      </w:r>
      <w:proofErr w:type="spellStart"/>
      <w:r>
        <w:t>Cochamó</w:t>
      </w:r>
      <w:proofErr w:type="spellEnd"/>
    </w:p>
    <w:p w:rsidR="00933F0F" w:rsidRDefault="00933F0F" w:rsidP="00933F0F">
      <w:pPr>
        <w:spacing w:before="0" w:after="0" w:line="240" w:lineRule="auto"/>
      </w:pPr>
      <w:r>
        <w:t>•</w:t>
      </w:r>
      <w:r>
        <w:tab/>
      </w:r>
      <w:proofErr w:type="spellStart"/>
      <w:r>
        <w:t>Puelo</w:t>
      </w:r>
      <w:proofErr w:type="spellEnd"/>
      <w:r>
        <w:t xml:space="preserve"> Alto</w:t>
      </w:r>
    </w:p>
    <w:p w:rsidR="00933F0F" w:rsidRDefault="00933F0F" w:rsidP="00933F0F">
      <w:pPr>
        <w:spacing w:before="0" w:after="0" w:line="240" w:lineRule="auto"/>
      </w:pPr>
      <w:r>
        <w:t>•</w:t>
      </w:r>
      <w:r>
        <w:tab/>
      </w:r>
      <w:proofErr w:type="spellStart"/>
      <w:r>
        <w:t>Contao</w:t>
      </w:r>
      <w:proofErr w:type="spellEnd"/>
    </w:p>
    <w:p w:rsidR="00933F0F" w:rsidRDefault="00933F0F" w:rsidP="00933F0F">
      <w:pPr>
        <w:spacing w:before="0" w:after="0" w:line="240" w:lineRule="auto"/>
      </w:pPr>
      <w:r>
        <w:t>•</w:t>
      </w:r>
      <w:r>
        <w:tab/>
        <w:t>El Manzano</w:t>
      </w:r>
    </w:p>
    <w:p w:rsidR="00933F0F" w:rsidRDefault="00933F0F" w:rsidP="00933F0F">
      <w:pPr>
        <w:spacing w:before="0" w:after="0" w:line="240" w:lineRule="auto"/>
      </w:pPr>
      <w:r>
        <w:t>•</w:t>
      </w:r>
      <w:r>
        <w:tab/>
      </w:r>
      <w:proofErr w:type="spellStart"/>
      <w:r>
        <w:t>Pichicolo</w:t>
      </w:r>
      <w:proofErr w:type="spellEnd"/>
    </w:p>
    <w:p w:rsidR="00933F0F" w:rsidRDefault="00933F0F" w:rsidP="00933F0F">
      <w:pPr>
        <w:spacing w:before="0" w:after="0" w:line="240" w:lineRule="auto"/>
      </w:pPr>
      <w:r>
        <w:t>•</w:t>
      </w:r>
      <w:r>
        <w:tab/>
        <w:t>Río Negro (</w:t>
      </w:r>
      <w:proofErr w:type="spellStart"/>
      <w:r>
        <w:t>Hornopirén</w:t>
      </w:r>
      <w:proofErr w:type="spellEnd"/>
      <w:r>
        <w:t>)</w:t>
      </w:r>
    </w:p>
    <w:p w:rsidR="00933F0F" w:rsidRDefault="00933F0F" w:rsidP="00933F0F">
      <w:pPr>
        <w:spacing w:before="0" w:after="0" w:line="240" w:lineRule="auto"/>
      </w:pPr>
    </w:p>
    <w:p w:rsidR="00933F0F" w:rsidRDefault="00933F0F" w:rsidP="00933F0F">
      <w:pPr>
        <w:spacing w:before="0" w:after="0" w:line="240" w:lineRule="auto"/>
        <w:jc w:val="both"/>
      </w:pPr>
      <w:r>
        <w:t>Asimismo, para esta Troncal se posibilita que las Proponentes consideren POIIT Adicionales a los ya indicados los cuales otorgarán a su oferta un mayor puntaje al momento de la evaluación. Así los POIIT Adicionales que las oferentes podrán consideran son:</w:t>
      </w:r>
    </w:p>
    <w:p w:rsidR="00933F0F" w:rsidRDefault="00933F0F" w:rsidP="00933F0F">
      <w:pPr>
        <w:spacing w:before="0" w:after="0" w:line="240" w:lineRule="auto"/>
        <w:jc w:val="both"/>
      </w:pPr>
    </w:p>
    <w:p w:rsidR="00933F0F" w:rsidRDefault="00933F0F" w:rsidP="00933F0F">
      <w:pPr>
        <w:spacing w:before="0" w:after="0" w:line="240" w:lineRule="auto"/>
      </w:pPr>
      <w:r>
        <w:t>•</w:t>
      </w:r>
      <w:r>
        <w:tab/>
        <w:t>Chaitén</w:t>
      </w:r>
    </w:p>
    <w:p w:rsidR="00933F0F" w:rsidRDefault="00933F0F" w:rsidP="00933F0F">
      <w:pPr>
        <w:spacing w:before="0" w:after="0" w:line="240" w:lineRule="auto"/>
      </w:pPr>
      <w:r>
        <w:t>•</w:t>
      </w:r>
      <w:r>
        <w:tab/>
        <w:t>Villa Santa Lucía</w:t>
      </w:r>
    </w:p>
    <w:p w:rsidR="00933F0F" w:rsidRDefault="00933F0F" w:rsidP="00933F0F">
      <w:pPr>
        <w:spacing w:before="0" w:after="0" w:line="240" w:lineRule="auto"/>
      </w:pPr>
      <w:r>
        <w:t>•</w:t>
      </w:r>
      <w:r>
        <w:tab/>
        <w:t>Palena</w:t>
      </w:r>
    </w:p>
    <w:p w:rsidR="00933F0F" w:rsidRDefault="00933F0F" w:rsidP="00933F0F">
      <w:pPr>
        <w:spacing w:before="0" w:after="0" w:line="240" w:lineRule="auto"/>
      </w:pPr>
      <w:r>
        <w:t>•</w:t>
      </w:r>
      <w:r>
        <w:tab/>
        <w:t>Valle California</w:t>
      </w:r>
    </w:p>
    <w:p w:rsidR="00933F0F" w:rsidRDefault="00933F0F" w:rsidP="00933F0F">
      <w:pPr>
        <w:spacing w:before="0" w:after="0" w:line="240" w:lineRule="auto"/>
      </w:pPr>
      <w:r>
        <w:t>•</w:t>
      </w:r>
      <w:r>
        <w:tab/>
        <w:t>El Azul</w:t>
      </w:r>
    </w:p>
    <w:p w:rsidR="00933F0F" w:rsidRDefault="00933F0F" w:rsidP="00933F0F">
      <w:pPr>
        <w:spacing w:before="0" w:after="0" w:line="240" w:lineRule="auto"/>
      </w:pPr>
      <w:r>
        <w:t>•</w:t>
      </w:r>
      <w:r>
        <w:tab/>
        <w:t>Futaleufú</w:t>
      </w:r>
    </w:p>
    <w:p w:rsidR="00933F0F" w:rsidRDefault="00933F0F" w:rsidP="00933F0F">
      <w:pPr>
        <w:spacing w:before="0" w:after="0" w:line="240" w:lineRule="auto"/>
      </w:pPr>
      <w:r>
        <w:t>•</w:t>
      </w:r>
      <w:r>
        <w:tab/>
        <w:t>El Límite</w:t>
      </w:r>
    </w:p>
    <w:p w:rsidR="00933F0F" w:rsidRDefault="00933F0F" w:rsidP="00933F0F">
      <w:pPr>
        <w:spacing w:before="0" w:after="0" w:line="240" w:lineRule="auto"/>
      </w:pPr>
      <w:r>
        <w:t>•</w:t>
      </w:r>
      <w:r>
        <w:tab/>
      </w:r>
      <w:proofErr w:type="spellStart"/>
      <w:r>
        <w:t>Hualaihue</w:t>
      </w:r>
      <w:proofErr w:type="spellEnd"/>
    </w:p>
    <w:p w:rsidR="00933F0F" w:rsidRDefault="00933F0F" w:rsidP="00933F0F">
      <w:pPr>
        <w:spacing w:before="0" w:after="0" w:line="240" w:lineRule="auto"/>
      </w:pPr>
    </w:p>
    <w:p w:rsidR="00CF15A5" w:rsidRDefault="00CF15A5" w:rsidP="00F529C9">
      <w:pPr>
        <w:pStyle w:val="Ttulo3"/>
      </w:pPr>
      <w:r>
        <w:t>elementos comunes a las troncales terrestres</w:t>
      </w:r>
    </w:p>
    <w:p w:rsidR="009D427F" w:rsidRDefault="009D427F" w:rsidP="009D427F">
      <w:pPr>
        <w:spacing w:after="0" w:line="240" w:lineRule="auto"/>
        <w:jc w:val="both"/>
        <w:rPr>
          <w:lang w:eastAsia="ar-SA"/>
        </w:rPr>
      </w:pPr>
      <w:r>
        <w:t>En el caso de las Troncales Terrestres, la principal prestación del Servicio de Infraestructura a comercializar corresponde al arriendo de Canales Ópticos Terrestres, correspondientes a un</w:t>
      </w:r>
      <w:r w:rsidRPr="00EC1A89">
        <w:rPr>
          <w:lang w:eastAsia="ar-SA"/>
        </w:rPr>
        <w:t xml:space="preserve"> par de filamentos de fibra óptica</w:t>
      </w:r>
      <w:r w:rsidRPr="00EC1A89">
        <w:t>.</w:t>
      </w:r>
      <w:r>
        <w:t xml:space="preserve"> </w:t>
      </w:r>
      <w:r w:rsidRPr="00EC1A89">
        <w:t xml:space="preserve">La Proponente podrá diseñar el </w:t>
      </w:r>
      <w:r w:rsidRPr="00EC1A89">
        <w:rPr>
          <w:lang w:eastAsia="ar-SA"/>
        </w:rPr>
        <w:t>trazado de acuerdo con la solución técnica que considere en su Proyecto Técnico</w:t>
      </w:r>
      <w:r>
        <w:rPr>
          <w:lang w:eastAsia="ar-SA"/>
        </w:rPr>
        <w:t>, por territorio nacional y en la región que corresponda, pero considerando los POIIT exigidos en cada troncal. Para mejorar en su puntaje de postulación, la Proponente podrá optar a ampliar la extensión del trazado añadiendo POIIT en localidades adicionales</w:t>
      </w:r>
      <w:r w:rsidR="00CF15A5">
        <w:rPr>
          <w:lang w:eastAsia="ar-SA"/>
        </w:rPr>
        <w:t xml:space="preserve"> previamente señaladas</w:t>
      </w:r>
      <w:r>
        <w:rPr>
          <w:lang w:eastAsia="ar-SA"/>
        </w:rPr>
        <w:t>.</w:t>
      </w:r>
    </w:p>
    <w:p w:rsidR="00CF15A5" w:rsidRDefault="00CF15A5" w:rsidP="00B50215">
      <w:pPr>
        <w:pStyle w:val="Ttulo3"/>
      </w:pPr>
      <w:r>
        <w:t>elementos comunes de la troncal submarina austral y las troncales terrestres</w:t>
      </w:r>
    </w:p>
    <w:p w:rsidR="00933F0F" w:rsidRPr="00933F0F" w:rsidRDefault="00933F0F" w:rsidP="00933F0F">
      <w:pPr>
        <w:spacing w:after="0" w:line="240" w:lineRule="auto"/>
        <w:jc w:val="both"/>
      </w:pPr>
      <w:r w:rsidRPr="00933F0F">
        <w:t xml:space="preserve">La infraestructura física para telecomunicaciones deberá ser instalada en territorio nacional y deberá ser operada y explotada en condiciones de acceso abierto y no discriminatorio, durante los 20 años que comprende el Periodo de Obligatoriedad de las Exigencias de las Bases (POEB). Lo anterior es sin perjuicio de </w:t>
      </w:r>
      <w:r w:rsidRPr="00933F0F">
        <w:lastRenderedPageBreak/>
        <w:t xml:space="preserve">la vigencia de la concesión a otorgar la cual de conformidad a la Ley N° 18.168, General de Telecomunicaciones es de 30 años. </w:t>
      </w:r>
    </w:p>
    <w:p w:rsidR="00933F0F" w:rsidRPr="00933F0F" w:rsidRDefault="00933F0F" w:rsidP="00933F0F">
      <w:pPr>
        <w:spacing w:after="0" w:line="240" w:lineRule="auto"/>
        <w:jc w:val="both"/>
      </w:pPr>
      <w:r w:rsidRPr="00933F0F">
        <w:t>En cuanto a la utilización de infraestructura existente, autorizada por SUBTEL, se permitirá el uso de medios propios para el caso de la infraestructura óptica para telecomunicaciones y de medios de terceros para el caso de la infraestructura no óptica para telecomunicaciones, velando en todo caso por el cumplimiento de las exigencias contempladas en las Bases Específicas.</w:t>
      </w:r>
    </w:p>
    <w:p w:rsidR="00933F0F" w:rsidRPr="00933F0F" w:rsidRDefault="00933F0F" w:rsidP="00933F0F">
      <w:pPr>
        <w:spacing w:after="0" w:line="240" w:lineRule="auto"/>
        <w:jc w:val="both"/>
      </w:pPr>
      <w:r w:rsidRPr="00933F0F">
        <w:t xml:space="preserve">Por su parte, para ambos tipos de Troncal de Infraestructura Óptica, el plazo máximo para el inicio de Servicio de Infraestructura (inicio de servicio) corresponde a 26 meses. </w:t>
      </w:r>
    </w:p>
    <w:p w:rsidR="00933F0F" w:rsidRPr="00933F0F" w:rsidRDefault="00933F0F" w:rsidP="00933F0F">
      <w:pPr>
        <w:spacing w:after="0" w:line="240" w:lineRule="auto"/>
        <w:jc w:val="both"/>
      </w:pPr>
      <w:r w:rsidRPr="00933F0F">
        <w:t>En cuanto al acuerdo de niveles de servicio, cabe destacar que se exigirá una Disponibilidad Anual de Servicio de Infraestructura de, al menos, un 98%.</w:t>
      </w:r>
    </w:p>
    <w:p w:rsidR="00DE432D" w:rsidRPr="00933F0F" w:rsidRDefault="00933F0F" w:rsidP="00933F0F">
      <w:pPr>
        <w:spacing w:after="0" w:line="240" w:lineRule="auto"/>
        <w:jc w:val="both"/>
      </w:pPr>
      <w:r w:rsidRPr="00933F0F">
        <w:t>En el desarrollo de este Concurso Público, se deberán dar estricto cumplimiento a todas y cada una de las exigencias establecidas en las Bases del Concurso, y será de su responsabilidad y cargo, obtener oportunamente todos los permisos, concesiones y/o autorizaciones, además de respetar y dar estricto cumplimiento a todas las leyes, reglamentos, ordenanzas y, en general, normas de cualquier naturaleza, que sean aplicables.</w:t>
      </w:r>
    </w:p>
    <w:p w:rsidR="00DE432D" w:rsidRPr="005570A0" w:rsidRDefault="00DE432D" w:rsidP="002E2977">
      <w:pPr>
        <w:pStyle w:val="Ttulo1"/>
      </w:pPr>
      <w:r w:rsidRPr="005570A0">
        <w:t xml:space="preserve">ASPECTOS </w:t>
      </w:r>
      <w:r w:rsidR="001551EE">
        <w:t>Específicos</w:t>
      </w:r>
    </w:p>
    <w:p w:rsidR="00824FE1" w:rsidRDefault="00824FE1" w:rsidP="00824FE1">
      <w:pPr>
        <w:spacing w:before="0" w:after="0" w:line="240" w:lineRule="auto"/>
        <w:ind w:firstLine="284"/>
        <w:jc w:val="both"/>
      </w:pPr>
    </w:p>
    <w:p w:rsidR="00824FE1" w:rsidRPr="00AD6065" w:rsidRDefault="00824FE1" w:rsidP="00824FE1">
      <w:pPr>
        <w:pStyle w:val="Ttulo3"/>
      </w:pPr>
      <w:r>
        <w:rPr>
          <w:lang w:val="es-ES"/>
        </w:rPr>
        <w:t xml:space="preserve">Presentación al CONCURSO: </w:t>
      </w:r>
      <w:r>
        <w:t>Proponente</w:t>
      </w:r>
      <w:r w:rsidR="006C44DE">
        <w:t xml:space="preserve"> INDIVIDUALMENTE CONSIDERADA O CONSORCIOS</w:t>
      </w:r>
    </w:p>
    <w:p w:rsidR="00EB42DD" w:rsidRDefault="00337734" w:rsidP="00CC23D0">
      <w:pPr>
        <w:spacing w:after="0" w:line="240" w:lineRule="auto"/>
        <w:jc w:val="both"/>
      </w:pPr>
      <w:r w:rsidRPr="00241189">
        <w:t>Las Bases</w:t>
      </w:r>
      <w:r w:rsidR="0094649C">
        <w:t xml:space="preserve"> del concurso Fibra Óptica Austral</w:t>
      </w:r>
      <w:r w:rsidR="00F529C9">
        <w:t xml:space="preserve"> </w:t>
      </w:r>
      <w:r w:rsidR="00924124">
        <w:t>permit</w:t>
      </w:r>
      <w:r w:rsidR="009D551C">
        <w:t>irán</w:t>
      </w:r>
      <w:r w:rsidR="00924124">
        <w:t xml:space="preserve"> que</w:t>
      </w:r>
      <w:r w:rsidR="006C44DE">
        <w:t xml:space="preserve"> se presenten como oferentes al Concurso, empresas individualmente consideradas o bien,</w:t>
      </w:r>
      <w:r w:rsidR="00924124">
        <w:t xml:space="preserve"> </w:t>
      </w:r>
      <w:r w:rsidRPr="007818C0">
        <w:t xml:space="preserve">dos o más empresas </w:t>
      </w:r>
      <w:r w:rsidR="006C44DE">
        <w:t xml:space="preserve">que se asocien a través de un contrato de Consorcio o </w:t>
      </w:r>
      <w:proofErr w:type="spellStart"/>
      <w:r w:rsidR="006C44DE">
        <w:rPr>
          <w:i/>
        </w:rPr>
        <w:t>join</w:t>
      </w:r>
      <w:proofErr w:type="spellEnd"/>
      <w:r w:rsidR="006C44DE">
        <w:rPr>
          <w:i/>
        </w:rPr>
        <w:t xml:space="preserve"> </w:t>
      </w:r>
      <w:proofErr w:type="spellStart"/>
      <w:r w:rsidR="006C44DE">
        <w:rPr>
          <w:i/>
        </w:rPr>
        <w:t>venture</w:t>
      </w:r>
      <w:proofErr w:type="spellEnd"/>
      <w:r w:rsidR="006C44DE">
        <w:rPr>
          <w:i/>
        </w:rPr>
        <w:t xml:space="preserve">. </w:t>
      </w:r>
      <w:r w:rsidR="006C44DE">
        <w:t xml:space="preserve">Sin embargo, toda Proponente al momento de ingresar su oferta, deberá </w:t>
      </w:r>
      <w:r w:rsidR="00A92097">
        <w:t>ser una</w:t>
      </w:r>
      <w:r w:rsidR="006C44DE">
        <w:t xml:space="preserve"> </w:t>
      </w:r>
      <w:r w:rsidR="00A92097">
        <w:t>persona jurídica</w:t>
      </w:r>
      <w:r w:rsidR="006C44DE" w:rsidRPr="006C44DE">
        <w:t xml:space="preserve"> que cumplan con los requisitos legales y reglamentarios para ser titulares de la concesión de servicio intermedio de telecomunicaciones que únicamente provea infraestructura física para telecomunicaciones</w:t>
      </w:r>
      <w:r w:rsidR="00A92097">
        <w:t>, esto es persona jurídica constituida en Chile y con domicilio en el país. Asimismo su Propuesta deberá</w:t>
      </w:r>
      <w:r w:rsidR="006C44DE">
        <w:rPr>
          <w:i/>
        </w:rPr>
        <w:t xml:space="preserve"> </w:t>
      </w:r>
      <w:r w:rsidR="006C44DE" w:rsidRPr="0094649C">
        <w:t>considera</w:t>
      </w:r>
      <w:r w:rsidR="00A92097">
        <w:t>r</w:t>
      </w:r>
      <w:r w:rsidR="006C44DE" w:rsidRPr="0094649C">
        <w:t xml:space="preserve"> lo siguiente</w:t>
      </w:r>
      <w:r w:rsidR="00924124">
        <w:t>:</w:t>
      </w:r>
    </w:p>
    <w:p w:rsidR="00CC23D0" w:rsidRDefault="00CC23D0" w:rsidP="00CC23D0">
      <w:pPr>
        <w:spacing w:before="120" w:after="0" w:line="240" w:lineRule="auto"/>
        <w:ind w:firstLine="284"/>
        <w:jc w:val="both"/>
      </w:pPr>
    </w:p>
    <w:p w:rsidR="006C44DE" w:rsidRDefault="006C44DE" w:rsidP="00E91CF8">
      <w:pPr>
        <w:pStyle w:val="Prrafodelista"/>
        <w:numPr>
          <w:ilvl w:val="0"/>
          <w:numId w:val="2"/>
        </w:numPr>
        <w:spacing w:before="0" w:after="0" w:line="240" w:lineRule="auto"/>
        <w:jc w:val="both"/>
      </w:pPr>
      <w:r>
        <w:t>Tratándose de una empresa individualmente considerada, su oferta deberá acompañar</w:t>
      </w:r>
      <w:r w:rsidR="00E91CF8" w:rsidRPr="00E91CF8">
        <w:t xml:space="preserve"> todos y cada uno de los antecedentes individualizados en </w:t>
      </w:r>
      <w:r w:rsidR="0094649C">
        <w:t>las Bases de concurso</w:t>
      </w:r>
      <w:r w:rsidR="00E91CF8">
        <w:t xml:space="preserve">, como asimismo presentar su Proyecto Financiero </w:t>
      </w:r>
      <w:r w:rsidR="0094649C">
        <w:t xml:space="preserve">también a ser detallado en dichas Bases. </w:t>
      </w:r>
    </w:p>
    <w:p w:rsidR="009D21B0" w:rsidRDefault="009D21B0" w:rsidP="009D21B0">
      <w:pPr>
        <w:pStyle w:val="Prrafodelista"/>
        <w:numPr>
          <w:ilvl w:val="0"/>
          <w:numId w:val="2"/>
        </w:numPr>
        <w:spacing w:before="0" w:after="0" w:line="240" w:lineRule="auto"/>
        <w:jc w:val="both"/>
      </w:pPr>
      <w:r>
        <w:t>Tratándose de un Consorcio, cada uno de sus miembros junto con cumplir las exigencias previstas en el literal anterior, deberán acompañar el contrato de colaboración a través del cual se produjo la asociación de intereses de las personas jurídicas que forman parte de la alianza respectiva, el cual deberá ser suscrito ante Notario Público, debiendo especificar el mismo los siguientes elementos:</w:t>
      </w:r>
    </w:p>
    <w:p w:rsidR="009D21B0" w:rsidRDefault="009D21B0" w:rsidP="0094649C">
      <w:pPr>
        <w:pStyle w:val="Prrafodelista"/>
        <w:numPr>
          <w:ilvl w:val="0"/>
          <w:numId w:val="23"/>
        </w:numPr>
        <w:spacing w:before="0" w:after="0" w:line="240" w:lineRule="auto"/>
        <w:jc w:val="both"/>
      </w:pPr>
      <w:r>
        <w:t>La razón social y RUT de las personas jurídicas que forman parte del Consorcio;</w:t>
      </w:r>
    </w:p>
    <w:p w:rsidR="009D21B0" w:rsidRDefault="009D21B0" w:rsidP="0094649C">
      <w:pPr>
        <w:pStyle w:val="Prrafodelista"/>
        <w:numPr>
          <w:ilvl w:val="0"/>
          <w:numId w:val="23"/>
        </w:numPr>
        <w:spacing w:before="0" w:after="0" w:line="240" w:lineRule="auto"/>
        <w:jc w:val="both"/>
      </w:pPr>
      <w:r>
        <w:t>La designación de un domicilio común;</w:t>
      </w:r>
    </w:p>
    <w:p w:rsidR="009D21B0" w:rsidRDefault="009D21B0" w:rsidP="0094649C">
      <w:pPr>
        <w:pStyle w:val="Prrafodelista"/>
        <w:numPr>
          <w:ilvl w:val="0"/>
          <w:numId w:val="23"/>
        </w:numPr>
        <w:spacing w:before="0" w:after="0" w:line="240" w:lineRule="auto"/>
        <w:jc w:val="both"/>
      </w:pPr>
      <w:r>
        <w:t>La individualización de un administrador o representante en común, con poderes suficientes para actuar ante SUBTEL en todas las materias derivadas del presente Concurso, y posteriormente de la ejecución del Proyecto Comprometido;</w:t>
      </w:r>
    </w:p>
    <w:p w:rsidR="009D21B0" w:rsidRDefault="009D21B0" w:rsidP="0094649C">
      <w:pPr>
        <w:pStyle w:val="Prrafodelista"/>
        <w:numPr>
          <w:ilvl w:val="0"/>
          <w:numId w:val="23"/>
        </w:numPr>
        <w:spacing w:before="0" w:after="0" w:line="240" w:lineRule="auto"/>
        <w:jc w:val="both"/>
      </w:pPr>
      <w:r>
        <w:lastRenderedPageBreak/>
        <w:t>La vigencia del acuerdo de colaboración deberá ser equivalente al Periodo de Obligatoriedad de las Exigencias de Bases.;</w:t>
      </w:r>
    </w:p>
    <w:p w:rsidR="009D21B0" w:rsidRDefault="009D21B0" w:rsidP="0094649C">
      <w:pPr>
        <w:pStyle w:val="Prrafodelista"/>
        <w:numPr>
          <w:ilvl w:val="0"/>
          <w:numId w:val="23"/>
        </w:numPr>
        <w:spacing w:before="0" w:after="0" w:line="240" w:lineRule="auto"/>
        <w:jc w:val="both"/>
      </w:pPr>
      <w:r>
        <w:t>En el acuerdo deberá constar la responsabilidad solidaria e indivisible de cada uno de los miembros del Consorcio en el cumplimiento de las obligaciones asumidas en razón del presente Concurso, la(s) concesión(es) otorgada(s), así como en el despliegue, operación y explotación del Servicio de Infraestructura en la Troncal de Infraestructura Óptica asignada, la cual deberá mantenerse durante todo el Período de Obligatoriedad de Exigencias de Bases;</w:t>
      </w:r>
    </w:p>
    <w:p w:rsidR="009D21B0" w:rsidRDefault="009D21B0" w:rsidP="0094649C">
      <w:pPr>
        <w:pStyle w:val="Prrafodelista"/>
        <w:numPr>
          <w:ilvl w:val="0"/>
          <w:numId w:val="23"/>
        </w:numPr>
        <w:spacing w:before="0" w:after="0" w:line="240" w:lineRule="auto"/>
        <w:jc w:val="both"/>
      </w:pPr>
      <w:r>
        <w:t>La individualización de la persona jurídica perteneciente al Consorcio que solicitará y se le otorgará la respectiva concesión, y a quién en definitiva se realizará el pago del Subsidio descrito en el Artículo 20° de estas Bases Específicas, teniendo presente que solo se otorgará una concesión por Troncal de Infraestructura Óptica asignada; y</w:t>
      </w:r>
    </w:p>
    <w:p w:rsidR="009D21B0" w:rsidRDefault="009D21B0" w:rsidP="0094649C">
      <w:pPr>
        <w:pStyle w:val="Prrafodelista"/>
        <w:numPr>
          <w:ilvl w:val="0"/>
          <w:numId w:val="23"/>
        </w:numPr>
        <w:spacing w:before="0" w:after="0" w:line="240" w:lineRule="auto"/>
        <w:jc w:val="both"/>
      </w:pPr>
      <w:r>
        <w:t xml:space="preserve">La declaración expresa que cada miembro del Consorcio respetará la normativa sectorial, así como las normas de libre competencia  </w:t>
      </w:r>
    </w:p>
    <w:p w:rsidR="002321AC" w:rsidRDefault="002321AC" w:rsidP="0094649C">
      <w:pPr>
        <w:spacing w:before="0" w:after="0" w:line="240" w:lineRule="auto"/>
        <w:jc w:val="both"/>
      </w:pPr>
    </w:p>
    <w:p w:rsidR="002321AC" w:rsidRDefault="002321AC" w:rsidP="002321AC">
      <w:pPr>
        <w:spacing w:before="0" w:after="0" w:line="240" w:lineRule="auto"/>
        <w:jc w:val="both"/>
      </w:pPr>
      <w:r>
        <w:t xml:space="preserve">Para ambas modalidades de postulación, las Proponentes -para efectos de la evaluación de sus antecedentes financieros-, podrán presentar los balances generales y estados de resultado de sus matrices, nacionales o extranjeras, debiendo estos documentos estar firmados por el o los representantes legales de la Proponente y por un contador general o contador auditor titulado, de acuerdo a lo </w:t>
      </w:r>
      <w:r w:rsidR="0094649C">
        <w:t>que se estipulará en</w:t>
      </w:r>
      <w:r>
        <w:t xml:space="preserve"> las Bases, y sus valores ser expresados en su moneda de origen y en moneda nacional. Asimismo deberán ser formulados en idioma español, y estar debidamente auditados por empresas externas en norma IFRS, señalando además la clasificación de riesgo de dichas matrices. La clasificación de riesgo deberá ser otorgada por una entidad de prestigio nacional o internacional. Por su parte, la relación entre empresas filiales y coligadas respecto de sus matrices se determinará de conformidad con lo dispuesto por la Ley Nº 18.046, sobre Sociedades Anónimas y por la Ley Nº 18.045, de Mercado de Valores.</w:t>
      </w:r>
    </w:p>
    <w:p w:rsidR="002321AC" w:rsidRDefault="002321AC" w:rsidP="002321AC">
      <w:pPr>
        <w:spacing w:before="0" w:after="0" w:line="240" w:lineRule="auto"/>
        <w:jc w:val="both"/>
      </w:pPr>
    </w:p>
    <w:p w:rsidR="002321AC" w:rsidRDefault="002321AC" w:rsidP="0094649C">
      <w:pPr>
        <w:spacing w:before="0" w:after="0" w:line="240" w:lineRule="auto"/>
        <w:jc w:val="both"/>
      </w:pPr>
      <w:r>
        <w:t>En el evento que la Proponente presente los balances y estados de resultados de sus matrices, además deberá acompañar una declaración jurada ante Notario Público suscrita por el (los) representante(s) legal(es) de las matrices de las Proponentes, en la cual se pacte ente ellas la responsabilidad solidaria e indivisiblemente en el cumplimiento de todas y cada una de las exigencias detalladas en las Bases de Concurso.</w:t>
      </w:r>
    </w:p>
    <w:p w:rsidR="002321AC" w:rsidRDefault="002321AC" w:rsidP="0094649C">
      <w:pPr>
        <w:spacing w:before="0" w:after="0" w:line="240" w:lineRule="auto"/>
        <w:jc w:val="both"/>
      </w:pPr>
      <w:r>
        <w:t xml:space="preserve"> </w:t>
      </w:r>
    </w:p>
    <w:p w:rsidR="00337734" w:rsidRPr="00852421" w:rsidRDefault="00337734" w:rsidP="002E2977">
      <w:pPr>
        <w:pStyle w:val="Ttulo3"/>
      </w:pPr>
      <w:r w:rsidRPr="00852421">
        <w:t>Presentación de Propuestas asociadas a las Troncales Submarina y Terrestres</w:t>
      </w:r>
    </w:p>
    <w:p w:rsidR="00472E3C" w:rsidRDefault="00BD6E47" w:rsidP="002E2977">
      <w:pPr>
        <w:spacing w:after="0" w:line="240" w:lineRule="auto"/>
        <w:jc w:val="both"/>
      </w:pPr>
      <w:r>
        <w:t xml:space="preserve">Se realizará un </w:t>
      </w:r>
      <w:r w:rsidR="00BE13B5">
        <w:t>único C</w:t>
      </w:r>
      <w:r>
        <w:t>oncurso</w:t>
      </w:r>
      <w:r w:rsidR="00BE13B5">
        <w:t xml:space="preserve"> Público</w:t>
      </w:r>
      <w:r>
        <w:t xml:space="preserve"> para todas las </w:t>
      </w:r>
      <w:r w:rsidR="008D2E96">
        <w:t>T</w:t>
      </w:r>
      <w:r>
        <w:t xml:space="preserve">roncales </w:t>
      </w:r>
      <w:r w:rsidR="00222B2A">
        <w:t xml:space="preserve">de </w:t>
      </w:r>
      <w:r w:rsidR="008D2E96">
        <w:t>I</w:t>
      </w:r>
      <w:r w:rsidR="00222B2A">
        <w:t>nfraestructura</w:t>
      </w:r>
      <w:r w:rsidR="008D2E96">
        <w:t xml:space="preserve"> Óptica</w:t>
      </w:r>
      <w:r w:rsidR="00222B2A">
        <w:t xml:space="preserve">, </w:t>
      </w:r>
      <w:r w:rsidR="00BE13B5">
        <w:t>el cual considera</w:t>
      </w:r>
      <w:r w:rsidR="00222B2A">
        <w:t xml:space="preserve"> </w:t>
      </w:r>
      <w:r w:rsidR="00BE13B5">
        <w:t xml:space="preserve">un </w:t>
      </w:r>
      <w:r w:rsidR="00222B2A">
        <w:t>mism</w:t>
      </w:r>
      <w:r w:rsidR="00BE13B5">
        <w:t>o plazo para la realización de consultas por parte de las interesadas</w:t>
      </w:r>
      <w:r w:rsidR="00472E3C">
        <w:t xml:space="preserve"> en presentar ofertas tanto a la Troncal Submarina Austral como a las Troncales Terrestres y</w:t>
      </w:r>
      <w:r w:rsidR="00BE13B5">
        <w:t xml:space="preserve"> </w:t>
      </w:r>
      <w:r w:rsidR="00BE13B5" w:rsidRPr="00BE13B5">
        <w:t>que tengan por objeto aclarar el correcto sentido y alcance de las disposiciones contenidas en las Bases del Concurso</w:t>
      </w:r>
      <w:r w:rsidR="00472E3C">
        <w:t xml:space="preserve">. Asimismo, se considera un único plazo en el cual SUBTEL deberá emitir </w:t>
      </w:r>
      <w:r w:rsidR="00BE13B5">
        <w:t>el correspondiente informe de respuesta a dichas consultas</w:t>
      </w:r>
      <w:r w:rsidR="00472E3C">
        <w:t>.</w:t>
      </w:r>
    </w:p>
    <w:p w:rsidR="00556E4C" w:rsidRDefault="00472E3C" w:rsidP="002E2977">
      <w:pPr>
        <w:spacing w:after="0" w:line="240" w:lineRule="auto"/>
        <w:jc w:val="both"/>
      </w:pPr>
      <w:r>
        <w:t xml:space="preserve">Sin embargo existirá un plazo diferenciado y diferido para la presentación de las Propuestas y su apertura a la Troncal Submarina Austral y aquellas asociadas a las Troncales Terrestres </w:t>
      </w:r>
      <w:r w:rsidR="00BE13B5">
        <w:t>(ver</w:t>
      </w:r>
      <w:r w:rsidR="00222B2A">
        <w:t xml:space="preserve"> </w:t>
      </w:r>
      <w:r>
        <w:t xml:space="preserve">ilustración </w:t>
      </w:r>
      <w:r w:rsidR="00DF458E">
        <w:t>N</w:t>
      </w:r>
      <w:r w:rsidR="000D36F5">
        <w:t>°</w:t>
      </w:r>
      <w:r w:rsidR="00BE13B5">
        <w:t xml:space="preserve"> </w:t>
      </w:r>
      <w:r>
        <w:t>2</w:t>
      </w:r>
      <w:r w:rsidR="00BE13B5">
        <w:t xml:space="preserve">). </w:t>
      </w:r>
    </w:p>
    <w:p w:rsidR="00222B2A" w:rsidRDefault="00556E4C" w:rsidP="002E2977">
      <w:pPr>
        <w:spacing w:after="0" w:line="240" w:lineRule="auto"/>
        <w:jc w:val="both"/>
      </w:pPr>
      <w:r>
        <w:t>La totalidad de las Propuestas recepcionadas para a</w:t>
      </w:r>
      <w:r w:rsidR="00222B2A">
        <w:t>mb</w:t>
      </w:r>
      <w:r w:rsidR="006605BC">
        <w:t>o</w:t>
      </w:r>
      <w:r w:rsidR="00222B2A">
        <w:t>s</w:t>
      </w:r>
      <w:r w:rsidR="006605BC">
        <w:t xml:space="preserve"> tipos de</w:t>
      </w:r>
      <w:r w:rsidR="00222B2A">
        <w:t xml:space="preserve"> Troncales </w:t>
      </w:r>
      <w:r w:rsidR="006605BC">
        <w:t xml:space="preserve">serán </w:t>
      </w:r>
      <w:r>
        <w:t xml:space="preserve">evaluadas </w:t>
      </w:r>
      <w:r w:rsidR="00222B2A">
        <w:t xml:space="preserve">durante el </w:t>
      </w:r>
      <w:r w:rsidR="000D36F5">
        <w:t>presente año</w:t>
      </w:r>
      <w:r>
        <w:t xml:space="preserve">. Asimismo los resultados de dicha evaluación también serán notificados por SUBTEL a las </w:t>
      </w:r>
      <w:r>
        <w:lastRenderedPageBreak/>
        <w:t>oferentes una vez emitido el pronunciamiento por parte del Consejo de Desarrollo de</w:t>
      </w:r>
      <w:r w:rsidR="0094649C">
        <w:t xml:space="preserve"> </w:t>
      </w:r>
      <w:r>
        <w:t>las Telecomunicaciones sobre la asignación o no de los respectivos proyectos.</w:t>
      </w:r>
    </w:p>
    <w:p w:rsidR="00BD6E47" w:rsidRDefault="00BD6E47" w:rsidP="000F5BED">
      <w:pPr>
        <w:spacing w:after="0" w:line="240" w:lineRule="auto"/>
        <w:ind w:firstLine="284"/>
        <w:jc w:val="both"/>
      </w:pPr>
    </w:p>
    <w:p w:rsidR="000F5BED" w:rsidRPr="00243F2C" w:rsidRDefault="000D36F5" w:rsidP="000F5BED">
      <w:pPr>
        <w:spacing w:before="0" w:after="0" w:line="240" w:lineRule="auto"/>
        <w:jc w:val="center"/>
        <w:rPr>
          <w:b/>
          <w:bCs/>
          <w:color w:val="365F91" w:themeColor="accent1" w:themeShade="BF"/>
          <w:sz w:val="16"/>
          <w:szCs w:val="16"/>
        </w:rPr>
      </w:pPr>
      <w:r w:rsidRPr="000D36F5">
        <w:rPr>
          <w:noProof/>
        </w:rPr>
        <w:drawing>
          <wp:anchor distT="0" distB="0" distL="114300" distR="114300" simplePos="0" relativeHeight="251664384" behindDoc="1" locked="0" layoutInCell="1" allowOverlap="1" wp14:anchorId="418FAD0B" wp14:editId="3FEE6439">
            <wp:simplePos x="0" y="0"/>
            <wp:positionH relativeFrom="column">
              <wp:posOffset>1599565</wp:posOffset>
            </wp:positionH>
            <wp:positionV relativeFrom="paragraph">
              <wp:posOffset>195580</wp:posOffset>
            </wp:positionV>
            <wp:extent cx="2368550" cy="4956810"/>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8550" cy="495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E16" w:rsidRPr="007818C0" w:rsidRDefault="00556E4C" w:rsidP="0094649C">
      <w:pPr>
        <w:spacing w:after="0" w:line="240" w:lineRule="auto"/>
        <w:ind w:firstLine="284"/>
        <w:jc w:val="center"/>
      </w:pPr>
      <w:r>
        <w:rPr>
          <w:b/>
          <w:bCs/>
          <w:color w:val="365F91" w:themeColor="accent1" w:themeShade="BF"/>
          <w:sz w:val="16"/>
          <w:szCs w:val="16"/>
        </w:rPr>
        <w:t xml:space="preserve">Ilustración </w:t>
      </w:r>
      <w:r w:rsidRPr="00243F2C">
        <w:rPr>
          <w:b/>
          <w:bCs/>
          <w:color w:val="365F91" w:themeColor="accent1" w:themeShade="BF"/>
          <w:sz w:val="16"/>
          <w:szCs w:val="16"/>
        </w:rPr>
        <w:t>N</w:t>
      </w:r>
      <w:r>
        <w:rPr>
          <w:b/>
          <w:bCs/>
          <w:color w:val="365F91" w:themeColor="accent1" w:themeShade="BF"/>
          <w:sz w:val="16"/>
          <w:szCs w:val="16"/>
        </w:rPr>
        <w:t>° 2 Fases C</w:t>
      </w:r>
      <w:r w:rsidRPr="00243F2C">
        <w:rPr>
          <w:b/>
          <w:bCs/>
          <w:color w:val="365F91" w:themeColor="accent1" w:themeShade="BF"/>
          <w:sz w:val="16"/>
          <w:szCs w:val="16"/>
        </w:rPr>
        <w:t>oncurso Fibra Óptica Austral</w:t>
      </w:r>
    </w:p>
    <w:p w:rsidR="00337734" w:rsidRPr="007818C0" w:rsidRDefault="00337734" w:rsidP="00337734">
      <w:pPr>
        <w:pStyle w:val="Prrafodelista"/>
        <w:spacing w:after="0" w:line="240" w:lineRule="auto"/>
      </w:pPr>
    </w:p>
    <w:p w:rsidR="006605BC" w:rsidRPr="00A578AA" w:rsidRDefault="006605BC" w:rsidP="006605BC">
      <w:pPr>
        <w:pStyle w:val="Ttulo3"/>
      </w:pPr>
      <w:r>
        <w:t>T</w:t>
      </w:r>
      <w:r w:rsidRPr="00A578AA">
        <w:t>arifas máximas</w:t>
      </w:r>
      <w:r>
        <w:t xml:space="preserve"> para el Servicio de Infraestructura</w:t>
      </w:r>
    </w:p>
    <w:p w:rsidR="006605BC" w:rsidRDefault="006605BC" w:rsidP="006605BC">
      <w:pPr>
        <w:spacing w:after="0" w:line="240" w:lineRule="auto"/>
        <w:jc w:val="both"/>
      </w:pPr>
      <w:r>
        <w:t xml:space="preserve">Los postulantes deberán comprometer tarifas máximas para las prestaciones consideradas en </w:t>
      </w:r>
      <w:r w:rsidR="00491C8C">
        <w:t>la Oferta de</w:t>
      </w:r>
      <w:r>
        <w:t xml:space="preserve"> Servicio</w:t>
      </w:r>
      <w:r w:rsidR="00491C8C">
        <w:t>s</w:t>
      </w:r>
      <w:r>
        <w:t xml:space="preserve"> de Infraestructura </w:t>
      </w:r>
      <w:r w:rsidR="00491C8C">
        <w:t xml:space="preserve">establecida en las Bases de </w:t>
      </w:r>
      <w:r>
        <w:t xml:space="preserve">Concurso, </w:t>
      </w:r>
      <w:r w:rsidR="00491C8C">
        <w:t>las cuales</w:t>
      </w:r>
      <w:r>
        <w:t xml:space="preserve"> deberá</w:t>
      </w:r>
      <w:r w:rsidR="00491C8C">
        <w:t>n</w:t>
      </w:r>
      <w:r>
        <w:t xml:space="preserve"> </w:t>
      </w:r>
      <w:r w:rsidR="00491C8C">
        <w:t>estar disponibles</w:t>
      </w:r>
      <w:r>
        <w:t xml:space="preserve"> en cada </w:t>
      </w:r>
      <w:r w:rsidR="00491C8C">
        <w:t xml:space="preserve">uno de los </w:t>
      </w:r>
      <w:r>
        <w:t>POIIT comprometido</w:t>
      </w:r>
      <w:r w:rsidR="00491C8C">
        <w:t>s</w:t>
      </w:r>
      <w:r>
        <w:t xml:space="preserve">. En el Proyecto Financiero exigido en la postulación, se deberán </w:t>
      </w:r>
      <w:r>
        <w:lastRenderedPageBreak/>
        <w:t>declarar las tarifas en un flujo financiero que fundamente la solicitud de Subsidio</w:t>
      </w:r>
      <w:r w:rsidR="00B146B9">
        <w:t xml:space="preserve"> como las tarifas máximas propuestas.</w:t>
      </w:r>
    </w:p>
    <w:p w:rsidR="00B146B9" w:rsidRDefault="006605BC" w:rsidP="006605BC">
      <w:pPr>
        <w:spacing w:after="0" w:line="240" w:lineRule="auto"/>
        <w:jc w:val="both"/>
      </w:pPr>
      <w:r>
        <w:t>Las tarifas con las que el postulante adjudicatario del concurso se presente, estarán afectas a un Proceso de Actualización de las Tarifas Máximas del Servicio de Infraestructura,</w:t>
      </w:r>
      <w:r w:rsidR="00B146B9">
        <w:t xml:space="preserve"> que en una primera etapa corresponderá a una actualización de indicadores financieros y de no llegar a acuerdo entre las partes se procederá a elaboración de un proceso </w:t>
      </w:r>
      <w:r w:rsidR="00A746D6">
        <w:t xml:space="preserve">de Actualización de Tarifas Máximas del Servicio de Infraestructura, </w:t>
      </w:r>
      <w:r w:rsidR="00B146B9">
        <w:t xml:space="preserve">basado en una metodología de empresa modelo. </w:t>
      </w:r>
    </w:p>
    <w:p w:rsidR="006605BC" w:rsidRPr="00CC23D0" w:rsidRDefault="00B146B9" w:rsidP="00CC23D0">
      <w:pPr>
        <w:spacing w:after="0" w:line="240" w:lineRule="auto"/>
        <w:jc w:val="both"/>
      </w:pPr>
      <w:r>
        <w:t xml:space="preserve">El Proceso de Actualización de las Tarifas Máximas del Servicio de infraestructura comenzara a partir del </w:t>
      </w:r>
      <w:r w:rsidR="006605BC">
        <w:t xml:space="preserve"> cuarto año </w:t>
      </w:r>
      <w:r>
        <w:t>de operación</w:t>
      </w:r>
      <w:r w:rsidR="00A746D6">
        <w:t xml:space="preserve"> del Servicio</w:t>
      </w:r>
      <w:r>
        <w:t xml:space="preserve"> y se repetirá cada ocho (8) o cuatro (4) años, dependiendo si las tarifas máximas fueron ajustadas mediante una actualización financiera o metodología de empresa modelo</w:t>
      </w:r>
      <w:r w:rsidR="002E2977">
        <w:t>, respectivamente.</w:t>
      </w:r>
    </w:p>
    <w:p w:rsidR="00337734" w:rsidRDefault="000D36F5" w:rsidP="002E2977">
      <w:pPr>
        <w:pStyle w:val="Ttulo3"/>
      </w:pPr>
      <w:r>
        <w:rPr>
          <w:lang w:val="es-ES"/>
        </w:rPr>
        <w:t>T</w:t>
      </w:r>
      <w:r w:rsidR="006A7704">
        <w:rPr>
          <w:lang w:val="es-ES"/>
        </w:rPr>
        <w:t xml:space="preserve">arifas </w:t>
      </w:r>
      <w:r w:rsidR="006605BC">
        <w:rPr>
          <w:lang w:val="es-ES"/>
        </w:rPr>
        <w:t>máximas para las</w:t>
      </w:r>
      <w:r w:rsidR="006A7704">
        <w:rPr>
          <w:lang w:val="es-ES"/>
        </w:rPr>
        <w:t xml:space="preserve"> </w:t>
      </w:r>
      <w:r w:rsidR="006A7704">
        <w:t>Contrapr</w:t>
      </w:r>
      <w:r w:rsidR="006A7704" w:rsidRPr="0096131B">
        <w:t>estaciones</w:t>
      </w:r>
    </w:p>
    <w:p w:rsidR="00735166" w:rsidRDefault="00735166" w:rsidP="0052426B">
      <w:pPr>
        <w:pStyle w:val="Prrafodelista"/>
        <w:spacing w:before="0" w:after="0" w:line="240" w:lineRule="auto"/>
        <w:ind w:left="0" w:firstLine="696"/>
        <w:jc w:val="both"/>
      </w:pPr>
    </w:p>
    <w:p w:rsidR="006605BC" w:rsidRDefault="00EE54DE" w:rsidP="002E2977">
      <w:pPr>
        <w:pStyle w:val="Prrafodelista"/>
        <w:spacing w:before="0" w:after="0" w:line="240" w:lineRule="auto"/>
        <w:ind w:left="0"/>
        <w:jc w:val="both"/>
      </w:pPr>
      <w:r>
        <w:t xml:space="preserve">Las </w:t>
      </w:r>
      <w:r w:rsidR="00C76A72">
        <w:t>Bases del Concurso</w:t>
      </w:r>
      <w:r>
        <w:t xml:space="preserve"> establecen que l</w:t>
      </w:r>
      <w:r w:rsidR="00735166">
        <w:t xml:space="preserve">as </w:t>
      </w:r>
      <w:r w:rsidR="006605BC">
        <w:t>C</w:t>
      </w:r>
      <w:r w:rsidR="00735166">
        <w:t xml:space="preserve">ontraprestaciones corresponden a </w:t>
      </w:r>
      <w:r w:rsidR="006605BC">
        <w:t xml:space="preserve">la disposición de </w:t>
      </w:r>
      <w:r w:rsidR="00735166">
        <w:t xml:space="preserve">un 15% </w:t>
      </w:r>
      <w:r w:rsidR="00C76A72">
        <w:t>de</w:t>
      </w:r>
      <w:r w:rsidR="00735166">
        <w:t xml:space="preserve"> </w:t>
      </w:r>
      <w:r w:rsidR="006605BC">
        <w:t>la</w:t>
      </w:r>
      <w:r w:rsidR="00735166">
        <w:t xml:space="preserve"> capacidad</w:t>
      </w:r>
      <w:r w:rsidR="006605BC">
        <w:t xml:space="preserve"> de infraestructura física para telecomunicaciones</w:t>
      </w:r>
      <w:r w:rsidR="00735166" w:rsidRPr="00003FD0">
        <w:t xml:space="preserve"> para</w:t>
      </w:r>
      <w:r w:rsidR="006605BC">
        <w:t xml:space="preserve"> el</w:t>
      </w:r>
      <w:r w:rsidR="00735166" w:rsidRPr="00003FD0">
        <w:t xml:space="preserve"> uso </w:t>
      </w:r>
      <w:r w:rsidR="006605BC">
        <w:t xml:space="preserve">y servicio </w:t>
      </w:r>
      <w:r w:rsidR="00735166" w:rsidRPr="00003FD0">
        <w:t>exclusivo de organismos públicos.</w:t>
      </w:r>
      <w:r>
        <w:t xml:space="preserve"> </w:t>
      </w:r>
      <w:r w:rsidR="006605BC">
        <w:t>En este sentido, cabe señalar que se exige que las Proponentes consideren la disposición de un 15% de los Canales Ópticos Submarinos comprometidos para el caso de la Troncal Submarina, y de un 15% de los Canales Ópticos Terrestres comprometidos para las Troncales Terrestres.</w:t>
      </w:r>
      <w:r>
        <w:t xml:space="preserve"> </w:t>
      </w:r>
      <w:r w:rsidR="006605BC">
        <w:t>La tarifa máxima para</w:t>
      </w:r>
      <w:r w:rsidR="00C76A72">
        <w:t xml:space="preserve"> estos </w:t>
      </w:r>
      <w:r w:rsidR="006605BC">
        <w:t>C</w:t>
      </w:r>
      <w:r w:rsidR="00C76A72">
        <w:t xml:space="preserve">anales </w:t>
      </w:r>
      <w:r w:rsidR="006605BC">
        <w:t>Ó</w:t>
      </w:r>
      <w:r w:rsidR="00C76A72">
        <w:t xml:space="preserve">pticos </w:t>
      </w:r>
      <w:r w:rsidR="006605BC">
        <w:t xml:space="preserve">Submarinos o Canales Ópticos Terrestres </w:t>
      </w:r>
      <w:r w:rsidR="00F529C9">
        <w:t>será de,</w:t>
      </w:r>
      <w:r w:rsidR="00933F0F">
        <w:t xml:space="preserve"> </w:t>
      </w:r>
      <w:r w:rsidR="006605BC">
        <w:t xml:space="preserve">a lo más, </w:t>
      </w:r>
      <w:r w:rsidR="00C76A72">
        <w:t xml:space="preserve">un 50% </w:t>
      </w:r>
      <w:r w:rsidR="006605BC">
        <w:t>de la tarifa</w:t>
      </w:r>
      <w:r w:rsidR="00C76A72">
        <w:t xml:space="preserve"> ofrecid</w:t>
      </w:r>
      <w:r w:rsidR="006605BC">
        <w:t>a</w:t>
      </w:r>
      <w:r w:rsidR="00C76A72">
        <w:t xml:space="preserve"> a </w:t>
      </w:r>
      <w:r w:rsidR="006605BC">
        <w:t>los C</w:t>
      </w:r>
      <w:r w:rsidR="00C76A72">
        <w:t xml:space="preserve">lientes privados. </w:t>
      </w:r>
    </w:p>
    <w:p w:rsidR="006605BC" w:rsidRDefault="006605BC" w:rsidP="002E2977">
      <w:pPr>
        <w:pStyle w:val="Prrafodelista"/>
        <w:spacing w:before="0" w:after="0" w:line="240" w:lineRule="auto"/>
        <w:ind w:left="0"/>
        <w:jc w:val="both"/>
      </w:pPr>
    </w:p>
    <w:p w:rsidR="00003FD0" w:rsidRDefault="00A2295A" w:rsidP="002E2977">
      <w:pPr>
        <w:pStyle w:val="Prrafodelista"/>
        <w:spacing w:before="0" w:after="0" w:line="240" w:lineRule="auto"/>
        <w:ind w:left="0"/>
        <w:jc w:val="both"/>
      </w:pPr>
      <w:r>
        <w:t>La asignación de</w:t>
      </w:r>
      <w:r w:rsidR="001C4AF4" w:rsidRPr="00003FD0">
        <w:t xml:space="preserve"> las capacidades asociadas al uso</w:t>
      </w:r>
      <w:r w:rsidR="003B3255" w:rsidRPr="00003FD0">
        <w:t xml:space="preserve"> de las </w:t>
      </w:r>
      <w:r w:rsidR="006605BC">
        <w:t>C</w:t>
      </w:r>
      <w:r w:rsidR="003B3255" w:rsidRPr="00003FD0">
        <w:t xml:space="preserve">ontraprestaciones será </w:t>
      </w:r>
      <w:r w:rsidR="00933F0F" w:rsidRPr="00003FD0">
        <w:t>determinada</w:t>
      </w:r>
      <w:r w:rsidR="003B3255" w:rsidRPr="00003FD0">
        <w:t xml:space="preserve"> por el Consejo de Desarrollo de </w:t>
      </w:r>
      <w:r w:rsidR="006605BC">
        <w:t xml:space="preserve">las </w:t>
      </w:r>
      <w:r w:rsidR="003B3255" w:rsidRPr="00003FD0">
        <w:t>Telecomunicaciones</w:t>
      </w:r>
      <w:r w:rsidR="00CD09D6" w:rsidRPr="00003FD0">
        <w:t xml:space="preserve"> (CDT)</w:t>
      </w:r>
      <w:r w:rsidR="003B3255" w:rsidRPr="00003FD0">
        <w:t xml:space="preserve">, en </w:t>
      </w:r>
      <w:r w:rsidR="001C4AF4" w:rsidRPr="00003FD0">
        <w:t xml:space="preserve">el contexto de </w:t>
      </w:r>
      <w:r w:rsidR="003B3255" w:rsidRPr="00003FD0">
        <w:t xml:space="preserve">su institucionalidad y en función de las definiciones de las políticas públicas correspondientes. Adicionalmente, las </w:t>
      </w:r>
      <w:r w:rsidR="006605BC">
        <w:t>C</w:t>
      </w:r>
      <w:r w:rsidR="003B3255" w:rsidRPr="00003FD0">
        <w:t>ontraprestaciones s</w:t>
      </w:r>
      <w:r w:rsidR="00EE54DE">
        <w:t>ól</w:t>
      </w:r>
      <w:r w:rsidR="003B3255" w:rsidRPr="00003FD0">
        <w:t xml:space="preserve">o existirán en </w:t>
      </w:r>
      <w:r w:rsidR="001C4AF4" w:rsidRPr="00003FD0">
        <w:t xml:space="preserve">el marco del Concurso Público del Proyecto </w:t>
      </w:r>
      <w:r w:rsidR="006605BC">
        <w:t>“</w:t>
      </w:r>
      <w:r w:rsidR="001C4AF4" w:rsidRPr="00003FD0">
        <w:t>F</w:t>
      </w:r>
      <w:r w:rsidR="006605BC">
        <w:t xml:space="preserve">ibra Óptica </w:t>
      </w:r>
      <w:r w:rsidR="001C4AF4" w:rsidRPr="00003FD0">
        <w:t>A</w:t>
      </w:r>
      <w:r w:rsidR="006605BC">
        <w:t>ustral”</w:t>
      </w:r>
      <w:r w:rsidR="001C4AF4" w:rsidRPr="00003FD0">
        <w:t>, es decir, a la disposición de Canales Ópticos</w:t>
      </w:r>
      <w:r w:rsidR="006605BC">
        <w:t xml:space="preserve"> Submarinos y/o Canales Ópticos Terrestres</w:t>
      </w:r>
      <w:r w:rsidR="001C4AF4" w:rsidRPr="00003FD0">
        <w:t xml:space="preserve"> en cada una de las Troncales de Infraestructura en el marco del modelo de operación y de la concesión otorgada </w:t>
      </w:r>
      <w:r w:rsidR="006605BC">
        <w:t>en el marco del presente Concurso</w:t>
      </w:r>
      <w:r w:rsidR="001C4AF4" w:rsidRPr="00003FD0">
        <w:t xml:space="preserve">. En este sentido, no existen Contraprestaciones respecto de otros </w:t>
      </w:r>
      <w:r w:rsidR="006605BC">
        <w:t>s</w:t>
      </w:r>
      <w:r w:rsidR="001C4AF4" w:rsidRPr="00003FD0">
        <w:t xml:space="preserve">ervicios de </w:t>
      </w:r>
      <w:r w:rsidR="006605BC">
        <w:t>t</w:t>
      </w:r>
      <w:r w:rsidR="001C4AF4" w:rsidRPr="00003FD0">
        <w:t xml:space="preserve">elecomunicaciones, </w:t>
      </w:r>
      <w:r w:rsidR="001C4AF4" w:rsidRPr="009013DA">
        <w:t xml:space="preserve">tales como </w:t>
      </w:r>
      <w:r w:rsidR="008D2E96">
        <w:t xml:space="preserve">la </w:t>
      </w:r>
      <w:r w:rsidR="001C4AF4" w:rsidRPr="009013DA">
        <w:t xml:space="preserve">telefonía o </w:t>
      </w:r>
      <w:r w:rsidR="008D2E96">
        <w:t xml:space="preserve">el acceso a </w:t>
      </w:r>
      <w:r w:rsidR="001C4AF4" w:rsidRPr="009013DA">
        <w:t xml:space="preserve">Internet y, en principio, serán </w:t>
      </w:r>
      <w:r w:rsidR="006605BC">
        <w:t>p</w:t>
      </w:r>
      <w:r w:rsidR="001C4AF4" w:rsidRPr="009013DA">
        <w:t>royectos del FDT los que utilizarán las Contraprestaciones del Proyecto FOA.</w:t>
      </w:r>
      <w:r w:rsidR="00003FD0">
        <w:t xml:space="preserve"> </w:t>
      </w:r>
    </w:p>
    <w:p w:rsidR="00FB4E7E" w:rsidRDefault="00FB4E7E" w:rsidP="00003FD0">
      <w:pPr>
        <w:pStyle w:val="Prrafodelista"/>
        <w:spacing w:before="0" w:after="0" w:line="240" w:lineRule="auto"/>
        <w:ind w:left="0" w:firstLine="696"/>
        <w:jc w:val="both"/>
      </w:pPr>
    </w:p>
    <w:p w:rsidR="00051507" w:rsidRPr="00051507" w:rsidRDefault="005C4476" w:rsidP="002E2977">
      <w:pPr>
        <w:pStyle w:val="Ttulo3"/>
        <w:rPr>
          <w:lang w:val="es-ES"/>
        </w:rPr>
      </w:pPr>
      <w:r>
        <w:rPr>
          <w:lang w:val="es-ES"/>
        </w:rPr>
        <w:t>Flujos de pagos</w:t>
      </w:r>
      <w:r w:rsidR="00051507" w:rsidRPr="00051507">
        <w:rPr>
          <w:lang w:val="es-ES"/>
        </w:rPr>
        <w:t xml:space="preserve"> y Boletas </w:t>
      </w:r>
      <w:r w:rsidR="00051507" w:rsidRPr="007B6FEC">
        <w:rPr>
          <w:lang w:val="es-ES"/>
        </w:rPr>
        <w:t>de Garantía</w:t>
      </w:r>
      <w:r w:rsidR="00051507" w:rsidRPr="00051507">
        <w:rPr>
          <w:lang w:val="es-ES"/>
        </w:rPr>
        <w:t xml:space="preserve"> </w:t>
      </w:r>
    </w:p>
    <w:p w:rsidR="00051507" w:rsidRDefault="00051507" w:rsidP="00051507">
      <w:pPr>
        <w:spacing w:before="0" w:after="0" w:line="240" w:lineRule="auto"/>
        <w:jc w:val="both"/>
        <w:rPr>
          <w:rFonts w:ascii="Calibri" w:eastAsia="Times New Roman" w:hAnsi="Calibri" w:cs="Times New Roman"/>
          <w:sz w:val="24"/>
        </w:rPr>
      </w:pPr>
    </w:p>
    <w:p w:rsidR="00A2295A" w:rsidRDefault="00A2295A" w:rsidP="002E2977">
      <w:pPr>
        <w:spacing w:before="0" w:after="0" w:line="240" w:lineRule="auto"/>
        <w:jc w:val="both"/>
      </w:pPr>
      <w:r>
        <w:t xml:space="preserve">Para garantizar la seriedad de la propuesta respectiva la Proponente deberá acompañar una boleta de garantía bancaria cuya vigencia deberá ser de 15 meses a contar desde la fecha de </w:t>
      </w:r>
      <w:r w:rsidRPr="00094655">
        <w:rPr>
          <w:b/>
          <w:u w:val="single"/>
        </w:rPr>
        <w:t>su presentación</w:t>
      </w:r>
      <w:r>
        <w:t>, esto es, si la oferta respectiva es ingresada a través de la Oficina de Parte de SUBTEL el día 26 de junio de 2017, dicho instrumento deberá estar vigente hasta 26 de diciembre de 2019.</w:t>
      </w:r>
    </w:p>
    <w:p w:rsidR="00EA06FF" w:rsidRDefault="00EA06FF" w:rsidP="002E2977">
      <w:pPr>
        <w:spacing w:before="0" w:after="0" w:line="240" w:lineRule="auto"/>
        <w:jc w:val="both"/>
      </w:pPr>
    </w:p>
    <w:p w:rsidR="0063718F" w:rsidRDefault="0063718F" w:rsidP="002E2977">
      <w:pPr>
        <w:spacing w:before="0" w:after="0" w:line="240" w:lineRule="auto"/>
        <w:jc w:val="both"/>
      </w:pPr>
    </w:p>
    <w:p w:rsidR="0063718F" w:rsidRDefault="0063718F" w:rsidP="002E2977">
      <w:pPr>
        <w:spacing w:before="0" w:after="0" w:line="240" w:lineRule="auto"/>
        <w:jc w:val="both"/>
      </w:pPr>
    </w:p>
    <w:p w:rsidR="0063718F" w:rsidRDefault="0063718F" w:rsidP="002E2977">
      <w:pPr>
        <w:spacing w:before="0" w:after="0" w:line="240" w:lineRule="auto"/>
        <w:jc w:val="both"/>
      </w:pPr>
    </w:p>
    <w:p w:rsidR="0063718F" w:rsidRDefault="0063718F" w:rsidP="002E2977">
      <w:pPr>
        <w:spacing w:before="0" w:after="0" w:line="240" w:lineRule="auto"/>
        <w:jc w:val="both"/>
      </w:pPr>
    </w:p>
    <w:p w:rsidR="00A2295A" w:rsidRDefault="00A2295A" w:rsidP="002E2977">
      <w:pPr>
        <w:spacing w:before="0" w:after="0" w:line="240" w:lineRule="auto"/>
        <w:jc w:val="both"/>
      </w:pPr>
      <w:r>
        <w:lastRenderedPageBreak/>
        <w:t>Asimismo los montos de estos instrumentos de garantía corresponden a los indicados en la siguiente tabla:</w:t>
      </w:r>
    </w:p>
    <w:p w:rsidR="00D479F6" w:rsidRDefault="00D479F6" w:rsidP="002E2977">
      <w:pPr>
        <w:spacing w:before="0" w:after="0" w:line="240" w:lineRule="auto"/>
        <w:jc w:val="both"/>
      </w:pPr>
    </w:p>
    <w:tbl>
      <w:tblPr>
        <w:tblW w:w="7661" w:type="dxa"/>
        <w:jc w:val="center"/>
        <w:tblCellMar>
          <w:left w:w="70" w:type="dxa"/>
          <w:right w:w="70" w:type="dxa"/>
        </w:tblCellMar>
        <w:tblLook w:val="04A0" w:firstRow="1" w:lastRow="0" w:firstColumn="1" w:lastColumn="0" w:noHBand="0" w:noVBand="1"/>
      </w:tblPr>
      <w:tblGrid>
        <w:gridCol w:w="2046"/>
        <w:gridCol w:w="3205"/>
        <w:gridCol w:w="2410"/>
      </w:tblGrid>
      <w:tr w:rsidR="00A2295A" w:rsidRPr="00EC1A89" w:rsidTr="00D479F6">
        <w:trPr>
          <w:trHeight w:val="907"/>
          <w:tblHeader/>
          <w:jc w:val="center"/>
        </w:trPr>
        <w:tc>
          <w:tcPr>
            <w:tcW w:w="2046" w:type="dxa"/>
            <w:tcBorders>
              <w:top w:val="single" w:sz="4" w:space="0" w:color="auto"/>
              <w:left w:val="single" w:sz="4" w:space="0" w:color="auto"/>
              <w:bottom w:val="single" w:sz="4" w:space="0" w:color="auto"/>
              <w:right w:val="single" w:sz="4" w:space="0" w:color="FFFFFF"/>
            </w:tcBorders>
            <w:shd w:val="clear" w:color="auto" w:fill="1F497D" w:themeFill="text2"/>
            <w:vAlign w:val="center"/>
            <w:hideMark/>
          </w:tcPr>
          <w:p w:rsidR="00A2295A" w:rsidRPr="00EC1A89" w:rsidRDefault="00A2295A" w:rsidP="00D479F6">
            <w:pPr>
              <w:spacing w:before="0" w:after="0" w:line="240" w:lineRule="auto"/>
              <w:jc w:val="center"/>
              <w:rPr>
                <w:b/>
                <w:color w:val="FFFFFF"/>
                <w:lang w:eastAsia="en-US"/>
              </w:rPr>
            </w:pPr>
            <w:r w:rsidRPr="00EC1A89">
              <w:rPr>
                <w:b/>
                <w:color w:val="FFFFFF"/>
                <w:lang w:eastAsia="en-US"/>
              </w:rPr>
              <w:t>Código Propuesta</w:t>
            </w:r>
          </w:p>
        </w:tc>
        <w:tc>
          <w:tcPr>
            <w:tcW w:w="3205" w:type="dxa"/>
            <w:tcBorders>
              <w:top w:val="single" w:sz="4" w:space="0" w:color="auto"/>
              <w:left w:val="nil"/>
              <w:bottom w:val="single" w:sz="4" w:space="0" w:color="auto"/>
              <w:right w:val="single" w:sz="4" w:space="0" w:color="FFFFFF"/>
            </w:tcBorders>
            <w:shd w:val="clear" w:color="auto" w:fill="1F497D" w:themeFill="text2"/>
            <w:vAlign w:val="center"/>
            <w:hideMark/>
          </w:tcPr>
          <w:p w:rsidR="00A2295A" w:rsidRPr="00EC1A89" w:rsidRDefault="00A2295A" w:rsidP="00D479F6">
            <w:pPr>
              <w:spacing w:before="0" w:after="0" w:line="240" w:lineRule="auto"/>
              <w:jc w:val="center"/>
              <w:rPr>
                <w:b/>
                <w:color w:val="FFFFFF"/>
                <w:lang w:eastAsia="en-US"/>
              </w:rPr>
            </w:pPr>
            <w:r w:rsidRPr="00EC1A89">
              <w:rPr>
                <w:b/>
                <w:color w:val="FFFFFF"/>
                <w:lang w:eastAsia="en-US"/>
              </w:rPr>
              <w:t>Troncal de Infraestructura Óptica</w:t>
            </w:r>
          </w:p>
        </w:tc>
        <w:tc>
          <w:tcPr>
            <w:tcW w:w="2410" w:type="dxa"/>
            <w:tcBorders>
              <w:top w:val="single" w:sz="4" w:space="0" w:color="auto"/>
              <w:left w:val="nil"/>
              <w:bottom w:val="single" w:sz="4" w:space="0" w:color="auto"/>
              <w:right w:val="single" w:sz="4" w:space="0" w:color="auto"/>
            </w:tcBorders>
            <w:shd w:val="clear" w:color="auto" w:fill="1F497D" w:themeFill="text2"/>
            <w:vAlign w:val="center"/>
            <w:hideMark/>
          </w:tcPr>
          <w:p w:rsidR="00A2295A" w:rsidRPr="00EC1A89" w:rsidRDefault="00A2295A" w:rsidP="00D479F6">
            <w:pPr>
              <w:spacing w:before="0" w:after="0" w:line="240" w:lineRule="auto"/>
              <w:jc w:val="center"/>
              <w:rPr>
                <w:b/>
                <w:color w:val="FFFFFF"/>
                <w:lang w:eastAsia="en-US"/>
              </w:rPr>
            </w:pPr>
            <w:r>
              <w:rPr>
                <w:b/>
                <w:color w:val="FFFFFF"/>
                <w:lang w:eastAsia="en-US"/>
              </w:rPr>
              <w:t>Monto en UF de la g</w:t>
            </w:r>
            <w:r w:rsidRPr="00EC1A89">
              <w:rPr>
                <w:b/>
                <w:color w:val="FFFFFF"/>
                <w:lang w:eastAsia="en-US"/>
              </w:rPr>
              <w:t xml:space="preserve">arantía de </w:t>
            </w:r>
            <w:r>
              <w:rPr>
                <w:b/>
                <w:color w:val="FFFFFF"/>
                <w:lang w:eastAsia="en-US"/>
              </w:rPr>
              <w:t>s</w:t>
            </w:r>
            <w:r w:rsidRPr="00EC1A89">
              <w:rPr>
                <w:b/>
                <w:color w:val="FFFFFF"/>
                <w:lang w:eastAsia="en-US"/>
              </w:rPr>
              <w:t>eriedad de la Propuesta</w:t>
            </w:r>
          </w:p>
        </w:tc>
      </w:tr>
      <w:tr w:rsidR="00A2295A" w:rsidRPr="00EC1A89" w:rsidTr="00D479F6">
        <w:trPr>
          <w:trHeight w:hRule="exact" w:val="454"/>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95A" w:rsidRPr="00EC1A89" w:rsidRDefault="00A2295A" w:rsidP="00D479F6">
            <w:pPr>
              <w:spacing w:before="0" w:after="0" w:line="240" w:lineRule="auto"/>
              <w:jc w:val="center"/>
              <w:rPr>
                <w:color w:val="000000"/>
                <w:lang w:eastAsia="en-US"/>
              </w:rPr>
            </w:pPr>
            <w:r w:rsidRPr="00EC1A89">
              <w:rPr>
                <w:color w:val="000000"/>
                <w:lang w:eastAsia="en-US"/>
              </w:rPr>
              <w:t>FDT-</w:t>
            </w:r>
            <w:r>
              <w:rPr>
                <w:color w:val="000000"/>
                <w:lang w:eastAsia="en-US"/>
              </w:rPr>
              <w:t>2017</w:t>
            </w:r>
            <w:r w:rsidRPr="00EC1A89">
              <w:rPr>
                <w:color w:val="000000"/>
                <w:lang w:eastAsia="en-US"/>
              </w:rPr>
              <w:t>-01-AUS</w:t>
            </w:r>
          </w:p>
        </w:tc>
        <w:tc>
          <w:tcPr>
            <w:tcW w:w="3205" w:type="dxa"/>
            <w:tcBorders>
              <w:top w:val="single" w:sz="4" w:space="0" w:color="auto"/>
              <w:left w:val="nil"/>
              <w:bottom w:val="single" w:sz="4" w:space="0" w:color="000000"/>
              <w:right w:val="single" w:sz="4" w:space="0" w:color="auto"/>
            </w:tcBorders>
            <w:shd w:val="clear" w:color="auto" w:fill="auto"/>
            <w:noWrap/>
            <w:vAlign w:val="center"/>
            <w:hideMark/>
          </w:tcPr>
          <w:p w:rsidR="00A2295A" w:rsidRPr="00EC1A89" w:rsidRDefault="00A2295A" w:rsidP="00D479F6">
            <w:pPr>
              <w:spacing w:before="0" w:after="0" w:line="240" w:lineRule="auto"/>
              <w:jc w:val="center"/>
              <w:rPr>
                <w:color w:val="000000"/>
                <w:lang w:eastAsia="en-US"/>
              </w:rPr>
            </w:pPr>
            <w:r w:rsidRPr="00EC1A89">
              <w:rPr>
                <w:color w:val="000000"/>
                <w:lang w:eastAsia="en-US"/>
              </w:rPr>
              <w:t>Troncal Submarina Austral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2295A" w:rsidRPr="002311A4" w:rsidRDefault="00A2295A" w:rsidP="00D479F6">
            <w:pPr>
              <w:spacing w:before="0" w:after="0" w:line="240" w:lineRule="auto"/>
              <w:jc w:val="center"/>
              <w:rPr>
                <w:color w:val="000000"/>
                <w:lang w:eastAsia="en-US"/>
              </w:rPr>
            </w:pPr>
            <w:r>
              <w:rPr>
                <w:color w:val="000000"/>
                <w:lang w:eastAsia="en-US"/>
              </w:rPr>
              <w:t>20.369</w:t>
            </w:r>
            <w:r w:rsidRPr="002311A4">
              <w:rPr>
                <w:color w:val="000000"/>
                <w:lang w:eastAsia="en-US"/>
              </w:rPr>
              <w:t xml:space="preserve"> UF</w:t>
            </w:r>
          </w:p>
        </w:tc>
      </w:tr>
      <w:tr w:rsidR="00A2295A" w:rsidRPr="00EC1A89" w:rsidTr="00D479F6">
        <w:trPr>
          <w:trHeight w:hRule="exact" w:val="454"/>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rsidR="00A2295A" w:rsidRPr="00EC1A89" w:rsidRDefault="00A2295A" w:rsidP="00D479F6">
            <w:pPr>
              <w:spacing w:before="0" w:after="0" w:line="240" w:lineRule="auto"/>
              <w:jc w:val="center"/>
              <w:rPr>
                <w:color w:val="000000"/>
                <w:lang w:eastAsia="en-US"/>
              </w:rPr>
            </w:pPr>
            <w:r w:rsidRPr="00EC1A89">
              <w:rPr>
                <w:color w:val="000000"/>
                <w:lang w:eastAsia="en-US"/>
              </w:rPr>
              <w:t>FDT-</w:t>
            </w:r>
            <w:r>
              <w:rPr>
                <w:color w:val="000000"/>
                <w:lang w:eastAsia="en-US"/>
              </w:rPr>
              <w:t>2017</w:t>
            </w:r>
            <w:r w:rsidRPr="00EC1A89">
              <w:rPr>
                <w:color w:val="000000"/>
                <w:lang w:eastAsia="en-US"/>
              </w:rPr>
              <w:t>-01-MAG</w:t>
            </w:r>
          </w:p>
        </w:tc>
        <w:tc>
          <w:tcPr>
            <w:tcW w:w="3205" w:type="dxa"/>
            <w:tcBorders>
              <w:top w:val="single" w:sz="4" w:space="0" w:color="000000"/>
              <w:left w:val="nil"/>
              <w:bottom w:val="single" w:sz="4" w:space="0" w:color="auto"/>
              <w:right w:val="single" w:sz="4" w:space="0" w:color="auto"/>
            </w:tcBorders>
            <w:shd w:val="clear" w:color="auto" w:fill="auto"/>
            <w:noWrap/>
            <w:vAlign w:val="center"/>
            <w:hideMark/>
          </w:tcPr>
          <w:p w:rsidR="00A2295A" w:rsidRPr="00EC1A89" w:rsidRDefault="00A2295A" w:rsidP="00D479F6">
            <w:pPr>
              <w:spacing w:before="0" w:after="0" w:line="240" w:lineRule="auto"/>
              <w:jc w:val="center"/>
              <w:rPr>
                <w:color w:val="000000"/>
                <w:lang w:eastAsia="en-US"/>
              </w:rPr>
            </w:pPr>
            <w:r w:rsidRPr="00EC1A89">
              <w:rPr>
                <w:color w:val="000000"/>
                <w:lang w:eastAsia="en-US"/>
              </w:rPr>
              <w:t>Troncal Terrestre Magallanes</w:t>
            </w:r>
          </w:p>
        </w:tc>
        <w:tc>
          <w:tcPr>
            <w:tcW w:w="2410" w:type="dxa"/>
            <w:tcBorders>
              <w:top w:val="nil"/>
              <w:left w:val="nil"/>
              <w:bottom w:val="single" w:sz="4" w:space="0" w:color="auto"/>
              <w:right w:val="single" w:sz="4" w:space="0" w:color="auto"/>
            </w:tcBorders>
            <w:shd w:val="clear" w:color="auto" w:fill="auto"/>
            <w:noWrap/>
            <w:vAlign w:val="center"/>
          </w:tcPr>
          <w:p w:rsidR="00A2295A" w:rsidRPr="002311A4" w:rsidRDefault="00A2295A" w:rsidP="00D479F6">
            <w:pPr>
              <w:spacing w:before="0" w:after="0" w:line="240" w:lineRule="auto"/>
              <w:jc w:val="center"/>
              <w:rPr>
                <w:color w:val="000000"/>
                <w:lang w:eastAsia="en-US"/>
              </w:rPr>
            </w:pPr>
            <w:r>
              <w:rPr>
                <w:color w:val="000000"/>
                <w:lang w:eastAsia="en-US"/>
              </w:rPr>
              <w:t>1.880</w:t>
            </w:r>
            <w:r w:rsidRPr="002311A4">
              <w:rPr>
                <w:color w:val="000000"/>
                <w:lang w:eastAsia="en-US"/>
              </w:rPr>
              <w:t xml:space="preserve"> UF</w:t>
            </w:r>
          </w:p>
        </w:tc>
      </w:tr>
      <w:tr w:rsidR="00A2295A" w:rsidRPr="00EC1A89" w:rsidTr="00D479F6">
        <w:trPr>
          <w:trHeight w:hRule="exact" w:val="454"/>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rsidR="00A2295A" w:rsidRPr="00EC1A89" w:rsidRDefault="00A2295A" w:rsidP="00D479F6">
            <w:pPr>
              <w:spacing w:before="0" w:after="0" w:line="240" w:lineRule="auto"/>
              <w:jc w:val="center"/>
              <w:rPr>
                <w:color w:val="000000"/>
                <w:lang w:eastAsia="en-US"/>
              </w:rPr>
            </w:pPr>
            <w:r w:rsidRPr="00EC1A89">
              <w:rPr>
                <w:color w:val="000000"/>
                <w:lang w:eastAsia="en-US"/>
              </w:rPr>
              <w:t>FDT-</w:t>
            </w:r>
            <w:r>
              <w:rPr>
                <w:color w:val="000000"/>
                <w:lang w:eastAsia="en-US"/>
              </w:rPr>
              <w:t>2017</w:t>
            </w:r>
            <w:r w:rsidRPr="00EC1A89">
              <w:rPr>
                <w:color w:val="000000"/>
                <w:lang w:eastAsia="en-US"/>
              </w:rPr>
              <w:t>-01-AYS</w:t>
            </w:r>
          </w:p>
        </w:tc>
        <w:tc>
          <w:tcPr>
            <w:tcW w:w="3205" w:type="dxa"/>
            <w:tcBorders>
              <w:top w:val="nil"/>
              <w:left w:val="nil"/>
              <w:bottom w:val="single" w:sz="4" w:space="0" w:color="auto"/>
              <w:right w:val="single" w:sz="4" w:space="0" w:color="auto"/>
            </w:tcBorders>
            <w:shd w:val="clear" w:color="auto" w:fill="auto"/>
            <w:noWrap/>
            <w:vAlign w:val="center"/>
            <w:hideMark/>
          </w:tcPr>
          <w:p w:rsidR="00A2295A" w:rsidRPr="00EC1A89" w:rsidRDefault="00A2295A" w:rsidP="00D479F6">
            <w:pPr>
              <w:spacing w:before="0" w:after="0" w:line="240" w:lineRule="auto"/>
              <w:jc w:val="center"/>
              <w:rPr>
                <w:color w:val="000000"/>
                <w:lang w:eastAsia="en-US"/>
              </w:rPr>
            </w:pPr>
            <w:r w:rsidRPr="00EC1A89">
              <w:rPr>
                <w:color w:val="000000"/>
                <w:lang w:eastAsia="en-US"/>
              </w:rPr>
              <w:t>Troncal Terrestre Aysén</w:t>
            </w:r>
          </w:p>
        </w:tc>
        <w:tc>
          <w:tcPr>
            <w:tcW w:w="2410" w:type="dxa"/>
            <w:tcBorders>
              <w:top w:val="nil"/>
              <w:left w:val="nil"/>
              <w:bottom w:val="single" w:sz="4" w:space="0" w:color="auto"/>
              <w:right w:val="single" w:sz="4" w:space="0" w:color="auto"/>
            </w:tcBorders>
            <w:shd w:val="clear" w:color="auto" w:fill="auto"/>
            <w:noWrap/>
            <w:vAlign w:val="center"/>
          </w:tcPr>
          <w:p w:rsidR="00A2295A" w:rsidRPr="002311A4" w:rsidRDefault="00A2295A" w:rsidP="00D479F6">
            <w:pPr>
              <w:spacing w:before="0" w:after="0" w:line="240" w:lineRule="auto"/>
              <w:jc w:val="center"/>
              <w:rPr>
                <w:color w:val="000000"/>
                <w:lang w:eastAsia="en-US"/>
              </w:rPr>
            </w:pPr>
            <w:r>
              <w:rPr>
                <w:color w:val="000000"/>
                <w:lang w:eastAsia="en-US"/>
              </w:rPr>
              <w:t>1.421</w:t>
            </w:r>
            <w:r w:rsidRPr="002311A4">
              <w:rPr>
                <w:color w:val="000000"/>
                <w:lang w:eastAsia="en-US"/>
              </w:rPr>
              <w:t xml:space="preserve"> UF</w:t>
            </w:r>
          </w:p>
        </w:tc>
      </w:tr>
      <w:tr w:rsidR="00A2295A" w:rsidRPr="00EC1A89" w:rsidTr="00D479F6">
        <w:trPr>
          <w:trHeight w:hRule="exact" w:val="454"/>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rsidR="00A2295A" w:rsidRPr="00EC1A89" w:rsidRDefault="00A2295A" w:rsidP="00D479F6">
            <w:pPr>
              <w:spacing w:before="0" w:after="0" w:line="240" w:lineRule="auto"/>
              <w:jc w:val="center"/>
              <w:rPr>
                <w:color w:val="000000"/>
                <w:lang w:eastAsia="en-US"/>
              </w:rPr>
            </w:pPr>
            <w:r w:rsidRPr="00EC1A89">
              <w:rPr>
                <w:color w:val="000000"/>
                <w:lang w:eastAsia="en-US"/>
              </w:rPr>
              <w:t>FDT-</w:t>
            </w:r>
            <w:r>
              <w:rPr>
                <w:color w:val="000000"/>
                <w:lang w:eastAsia="en-US"/>
              </w:rPr>
              <w:t>2017</w:t>
            </w:r>
            <w:r w:rsidRPr="00EC1A89">
              <w:rPr>
                <w:color w:val="000000"/>
                <w:lang w:eastAsia="en-US"/>
              </w:rPr>
              <w:t>-01-LAG</w:t>
            </w:r>
          </w:p>
        </w:tc>
        <w:tc>
          <w:tcPr>
            <w:tcW w:w="3205" w:type="dxa"/>
            <w:tcBorders>
              <w:top w:val="nil"/>
              <w:left w:val="nil"/>
              <w:bottom w:val="single" w:sz="4" w:space="0" w:color="auto"/>
              <w:right w:val="single" w:sz="4" w:space="0" w:color="auto"/>
            </w:tcBorders>
            <w:shd w:val="clear" w:color="auto" w:fill="auto"/>
            <w:noWrap/>
            <w:vAlign w:val="center"/>
            <w:hideMark/>
          </w:tcPr>
          <w:p w:rsidR="00A2295A" w:rsidRPr="00EC1A89" w:rsidRDefault="00A2295A" w:rsidP="00D479F6">
            <w:pPr>
              <w:spacing w:before="0" w:after="0" w:line="240" w:lineRule="auto"/>
              <w:jc w:val="center"/>
              <w:rPr>
                <w:color w:val="000000"/>
                <w:lang w:eastAsia="en-US"/>
              </w:rPr>
            </w:pPr>
            <w:r w:rsidRPr="00EC1A89">
              <w:rPr>
                <w:color w:val="000000"/>
                <w:lang w:eastAsia="en-US"/>
              </w:rPr>
              <w:t>Troncal Terrestre Los Lagos</w:t>
            </w:r>
          </w:p>
        </w:tc>
        <w:tc>
          <w:tcPr>
            <w:tcW w:w="2410" w:type="dxa"/>
            <w:tcBorders>
              <w:top w:val="nil"/>
              <w:left w:val="nil"/>
              <w:bottom w:val="single" w:sz="4" w:space="0" w:color="auto"/>
              <w:right w:val="single" w:sz="4" w:space="0" w:color="auto"/>
            </w:tcBorders>
            <w:shd w:val="clear" w:color="auto" w:fill="auto"/>
            <w:noWrap/>
            <w:vAlign w:val="center"/>
          </w:tcPr>
          <w:p w:rsidR="00A2295A" w:rsidRPr="002311A4" w:rsidRDefault="00A2295A" w:rsidP="00D479F6">
            <w:pPr>
              <w:spacing w:before="0" w:after="0" w:line="240" w:lineRule="auto"/>
              <w:jc w:val="center"/>
              <w:rPr>
                <w:color w:val="000000"/>
                <w:lang w:eastAsia="en-US"/>
              </w:rPr>
            </w:pPr>
            <w:r>
              <w:rPr>
                <w:color w:val="000000"/>
                <w:lang w:eastAsia="en-US"/>
              </w:rPr>
              <w:t xml:space="preserve">631 </w:t>
            </w:r>
            <w:r w:rsidRPr="002311A4">
              <w:rPr>
                <w:color w:val="000000"/>
                <w:lang w:eastAsia="en-US"/>
              </w:rPr>
              <w:t>UF</w:t>
            </w:r>
          </w:p>
        </w:tc>
      </w:tr>
    </w:tbl>
    <w:p w:rsidR="00A2295A" w:rsidRDefault="00A2295A" w:rsidP="002E2977">
      <w:pPr>
        <w:spacing w:before="0" w:after="0" w:line="240" w:lineRule="auto"/>
        <w:jc w:val="both"/>
      </w:pPr>
    </w:p>
    <w:p w:rsidR="00F674F0" w:rsidRDefault="00F90B52" w:rsidP="002E2977">
      <w:pPr>
        <w:spacing w:before="0" w:after="0" w:line="240" w:lineRule="auto"/>
        <w:jc w:val="both"/>
      </w:pPr>
      <w:r>
        <w:t xml:space="preserve">El subsidio </w:t>
      </w:r>
      <w:r w:rsidR="00F674F0">
        <w:t xml:space="preserve"> de cada una de las troncales </w:t>
      </w:r>
      <w:r>
        <w:t>se cancelará en dos cuotas</w:t>
      </w:r>
      <w:r w:rsidR="00F674F0">
        <w:t xml:space="preserve"> luego de la recepción conforme de las obras</w:t>
      </w:r>
      <w:r>
        <w:t xml:space="preserve">. La primera de ellas </w:t>
      </w:r>
      <w:r w:rsidR="00F674F0">
        <w:t xml:space="preserve">será de un </w:t>
      </w:r>
      <w:r w:rsidR="002E2977">
        <w:t>60</w:t>
      </w:r>
      <w:r w:rsidR="00F674F0">
        <w:t xml:space="preserve">% y la segunda cuota, en el siguiente periodo presupuestario, será de un </w:t>
      </w:r>
      <w:r w:rsidR="002E2977">
        <w:t>40</w:t>
      </w:r>
      <w:r w:rsidR="00F674F0">
        <w:t>%</w:t>
      </w:r>
      <w:r w:rsidR="009D551C">
        <w:t>.</w:t>
      </w:r>
      <w:r w:rsidR="00F674F0">
        <w:t xml:space="preserve"> </w:t>
      </w:r>
      <w:r w:rsidR="009D551C">
        <w:t xml:space="preserve"> </w:t>
      </w:r>
      <w:r w:rsidR="00F674F0">
        <w:t>Sin embargo, luego de</w:t>
      </w:r>
      <w:r w:rsidR="00A2295A">
        <w:t xml:space="preserve"> la total tramitación </w:t>
      </w:r>
      <w:r w:rsidR="00F674F0">
        <w:t>decreto que otorga la concesión</w:t>
      </w:r>
      <w:r w:rsidR="0051452F">
        <w:t xml:space="preserve"> respectiva</w:t>
      </w:r>
      <w:r w:rsidR="00F674F0">
        <w:t xml:space="preserve">, los </w:t>
      </w:r>
      <w:r w:rsidR="0051452F">
        <w:t>Adjudicatarios</w:t>
      </w:r>
      <w:r w:rsidR="00F674F0">
        <w:t xml:space="preserve"> de cada </w:t>
      </w:r>
      <w:r w:rsidR="0051452F">
        <w:t>T</w:t>
      </w:r>
      <w:r w:rsidR="00F674F0">
        <w:t xml:space="preserve">roncal </w:t>
      </w:r>
      <w:r w:rsidR="0051452F">
        <w:t xml:space="preserve">de Infraestructura Óptica </w:t>
      </w:r>
      <w:r w:rsidR="00F674F0">
        <w:t xml:space="preserve">podrán solicitar un anticipo del </w:t>
      </w:r>
      <w:r w:rsidR="002E2977">
        <w:t>20</w:t>
      </w:r>
      <w:r w:rsidR="00F674F0">
        <w:t xml:space="preserve">% del subsidio solicitado en su </w:t>
      </w:r>
      <w:r w:rsidR="0051452F">
        <w:t>P</w:t>
      </w:r>
      <w:r w:rsidR="00F674F0">
        <w:t>ropuesta. Si algún</w:t>
      </w:r>
      <w:r w:rsidR="0051452F">
        <w:t xml:space="preserve"> A</w:t>
      </w:r>
      <w:r w:rsidR="00F674F0">
        <w:t xml:space="preserve">djudicatario solicita </w:t>
      </w:r>
      <w:r w:rsidR="006D6C0F">
        <w:t xml:space="preserve">dicho </w:t>
      </w:r>
      <w:r w:rsidR="00F674F0">
        <w:t xml:space="preserve">anticipo, deberá presentar </w:t>
      </w:r>
      <w:r w:rsidR="006D6C0F">
        <w:t xml:space="preserve">a </w:t>
      </w:r>
      <w:r w:rsidR="00491C8C">
        <w:t>SUBTEL</w:t>
      </w:r>
      <w:r w:rsidR="006D6C0F">
        <w:t xml:space="preserve"> </w:t>
      </w:r>
      <w:r w:rsidR="00F674F0">
        <w:t xml:space="preserve">una boleta de garantía </w:t>
      </w:r>
      <w:r w:rsidR="00A2295A">
        <w:t xml:space="preserve">bancaria </w:t>
      </w:r>
      <w:r w:rsidR="00F674F0">
        <w:t>por e</w:t>
      </w:r>
      <w:r w:rsidR="006D6C0F">
        <w:t>l mismo monto.</w:t>
      </w:r>
    </w:p>
    <w:p w:rsidR="00EB42DD" w:rsidRDefault="00EB42DD" w:rsidP="002E2977">
      <w:pPr>
        <w:spacing w:before="0" w:after="0" w:line="240" w:lineRule="auto"/>
        <w:jc w:val="both"/>
      </w:pPr>
    </w:p>
    <w:p w:rsidR="00BC6542" w:rsidRDefault="00FE033C" w:rsidP="002E2977">
      <w:pPr>
        <w:spacing w:before="0" w:after="0" w:line="240" w:lineRule="auto"/>
        <w:jc w:val="both"/>
      </w:pPr>
      <w:r>
        <w:t xml:space="preserve">Para </w:t>
      </w:r>
      <w:r w:rsidR="006D6C0F">
        <w:t>garantizar</w:t>
      </w:r>
      <w:r w:rsidR="00B35C70">
        <w:t xml:space="preserve"> </w:t>
      </w:r>
      <w:r w:rsidR="006D6C0F">
        <w:t xml:space="preserve">el </w:t>
      </w:r>
      <w:r w:rsidR="00B35C70">
        <w:t>Inicio del Servicio de Infraestructura</w:t>
      </w:r>
      <w:r>
        <w:t xml:space="preserve"> se solicitará una boleta de garantía</w:t>
      </w:r>
      <w:r w:rsidR="00A2295A">
        <w:t xml:space="preserve"> bancaria</w:t>
      </w:r>
      <w:r>
        <w:t xml:space="preserve"> </w:t>
      </w:r>
      <w:r w:rsidR="009D551C">
        <w:t xml:space="preserve">que será </w:t>
      </w:r>
      <w:r w:rsidR="00B35C70">
        <w:t>equivalente a un 15% d</w:t>
      </w:r>
      <w:r w:rsidR="009D551C">
        <w:t>el subsidio máximo</w:t>
      </w:r>
      <w:r w:rsidR="006D6C0F">
        <w:t xml:space="preserve"> de la Troncal</w:t>
      </w:r>
      <w:r w:rsidR="0051452F">
        <w:t xml:space="preserve"> respectiva</w:t>
      </w:r>
      <w:r w:rsidR="00A2295A">
        <w:t xml:space="preserve"> y de</w:t>
      </w:r>
      <w:r w:rsidR="00BC6542">
        <w:t>b</w:t>
      </w:r>
      <w:r w:rsidR="00A2295A">
        <w:t>erá tener una vigencia de al menos 36 meses desde la fecha de su presentación</w:t>
      </w:r>
      <w:r w:rsidR="00BC6542">
        <w:t>, esto es 36 meses a contar de la fecha en la cual se solicitó el otorgamiento de la concesión respectiva</w:t>
      </w:r>
      <w:r w:rsidR="009D551C">
        <w:t>.</w:t>
      </w:r>
      <w:r w:rsidR="006D6C0F">
        <w:t xml:space="preserve"> </w:t>
      </w:r>
      <w:r w:rsidR="009D551C">
        <w:t xml:space="preserve"> </w:t>
      </w:r>
    </w:p>
    <w:p w:rsidR="00BC6542" w:rsidRDefault="00BC6542" w:rsidP="002E2977">
      <w:pPr>
        <w:spacing w:before="0" w:after="0" w:line="240" w:lineRule="auto"/>
        <w:jc w:val="both"/>
      </w:pPr>
    </w:p>
    <w:p w:rsidR="00BC6542" w:rsidRDefault="006D6C0F" w:rsidP="002E2977">
      <w:pPr>
        <w:spacing w:before="0" w:after="0" w:line="240" w:lineRule="auto"/>
        <w:jc w:val="both"/>
      </w:pPr>
      <w:r>
        <w:t xml:space="preserve">Luego, cuando la empresa solicite el </w:t>
      </w:r>
      <w:r w:rsidR="00E97E11">
        <w:t>pago de la primera cuota</w:t>
      </w:r>
      <w:r w:rsidR="00BC6542">
        <w:t xml:space="preserve"> de subsidio</w:t>
      </w:r>
      <w:r w:rsidR="00E97E11">
        <w:t>,</w:t>
      </w:r>
      <w:r>
        <w:t xml:space="preserve"> deberá entregar </w:t>
      </w:r>
      <w:r w:rsidR="00BC6542">
        <w:t xml:space="preserve">dos </w:t>
      </w:r>
      <w:r>
        <w:t>boleta</w:t>
      </w:r>
      <w:r w:rsidR="00BC6542">
        <w:t>s</w:t>
      </w:r>
      <w:r>
        <w:t xml:space="preserve"> </w:t>
      </w:r>
      <w:r w:rsidR="00A2295A">
        <w:t xml:space="preserve">de garantía bancaria </w:t>
      </w:r>
      <w:r w:rsidR="00BC6542">
        <w:t xml:space="preserve">una que </w:t>
      </w:r>
      <w:r w:rsidR="00021CF3">
        <w:t>reempla</w:t>
      </w:r>
      <w:r w:rsidR="00BC6542">
        <w:t>za a la garantía</w:t>
      </w:r>
      <w:r w:rsidR="00021CF3">
        <w:t xml:space="preserve"> de Inicio de Servicio </w:t>
      </w:r>
      <w:r w:rsidR="00E97E11">
        <w:t xml:space="preserve">para garantizar el “fiel, íntegro y oportuno cumplimiento”, </w:t>
      </w:r>
      <w:r>
        <w:t xml:space="preserve">correspondiente al 6% del subsidio máximo de la </w:t>
      </w:r>
      <w:r w:rsidR="0051452F">
        <w:t>T</w:t>
      </w:r>
      <w:r>
        <w:t>roncal correspondiente</w:t>
      </w:r>
      <w:r w:rsidR="00E97E11">
        <w:t>, con una vigencia no inferior a 18 meses</w:t>
      </w:r>
      <w:r w:rsidR="00BC6542">
        <w:t xml:space="preserve"> contados desde la fecha de su presentación</w:t>
      </w:r>
      <w:r w:rsidR="00E97E11">
        <w:t xml:space="preserve">. </w:t>
      </w:r>
      <w:r>
        <w:t xml:space="preserve"> </w:t>
      </w:r>
    </w:p>
    <w:p w:rsidR="00BC6542" w:rsidRDefault="00BC6542" w:rsidP="002E2977">
      <w:pPr>
        <w:spacing w:before="0" w:after="0" w:line="240" w:lineRule="auto"/>
        <w:jc w:val="both"/>
      </w:pPr>
    </w:p>
    <w:p w:rsidR="00BC6542" w:rsidRDefault="00BC6542" w:rsidP="002E2977">
      <w:pPr>
        <w:spacing w:before="0" w:after="0" w:line="240" w:lineRule="auto"/>
        <w:jc w:val="both"/>
      </w:pPr>
      <w:r>
        <w:t>Posteriormente, e</w:t>
      </w:r>
      <w:r w:rsidR="00E97E11">
        <w:t xml:space="preserve">n el momento </w:t>
      </w:r>
      <w:r>
        <w:t xml:space="preserve">que la Beneficiaria </w:t>
      </w:r>
      <w:r w:rsidR="00E97E11">
        <w:t>solicit</w:t>
      </w:r>
      <w:r>
        <w:t>e</w:t>
      </w:r>
      <w:r w:rsidR="00E97E11">
        <w:t xml:space="preserve"> el pago de la segunda cuota</w:t>
      </w:r>
      <w:r>
        <w:t xml:space="preserve"> subsidio</w:t>
      </w:r>
      <w:r w:rsidR="00E97E11">
        <w:t xml:space="preserve">, deberá ingresar </w:t>
      </w:r>
      <w:r>
        <w:t xml:space="preserve">una segunda </w:t>
      </w:r>
      <w:r w:rsidR="00E97E11">
        <w:t xml:space="preserve">boleta de garantía </w:t>
      </w:r>
      <w:r>
        <w:t xml:space="preserve">bancaria </w:t>
      </w:r>
      <w:r w:rsidR="00E97E11">
        <w:t xml:space="preserve">por el 10% del subsidio máximo  de la </w:t>
      </w:r>
      <w:r w:rsidR="0051452F">
        <w:t>T</w:t>
      </w:r>
      <w:r w:rsidR="00E97E11">
        <w:t>roncal</w:t>
      </w:r>
      <w:r w:rsidR="0051452F">
        <w:t xml:space="preserve"> respectiva</w:t>
      </w:r>
      <w:r w:rsidR="00E97E11">
        <w:t xml:space="preserve">. Esta </w:t>
      </w:r>
      <w:r>
        <w:t xml:space="preserve">caución deberá permanecer vigente durante todo el Período de Obligatoriedad de las Exigencias de las Bases (20 años) pudiendo presentarse una boleta de garantía bancaria cuya </w:t>
      </w:r>
      <w:r w:rsidR="00E97E11">
        <w:t xml:space="preserve"> vigencia de</w:t>
      </w:r>
      <w:r>
        <w:t>berá ser de</w:t>
      </w:r>
      <w:r w:rsidR="00E97E11">
        <w:t xml:space="preserve"> 10 años</w:t>
      </w:r>
      <w:r>
        <w:t>, renovable o prorrogable por el tiempo que reste de dicho período. Esta segunda garantía reemplazará</w:t>
      </w:r>
      <w:r w:rsidR="00E97E11">
        <w:t xml:space="preserve"> </w:t>
      </w:r>
      <w:r>
        <w:t>a aquella</w:t>
      </w:r>
      <w:r w:rsidR="00E97E11">
        <w:t xml:space="preserve"> exigida para la primera cuota. </w:t>
      </w:r>
    </w:p>
    <w:p w:rsidR="00BC6542" w:rsidRDefault="00BC6542" w:rsidP="002E2977">
      <w:pPr>
        <w:spacing w:before="0" w:after="0" w:line="240" w:lineRule="auto"/>
        <w:jc w:val="both"/>
      </w:pPr>
    </w:p>
    <w:p w:rsidR="00E97E11" w:rsidRDefault="00E97E11" w:rsidP="002E2977">
      <w:pPr>
        <w:spacing w:before="0" w:after="0" w:line="240" w:lineRule="auto"/>
        <w:jc w:val="both"/>
      </w:pPr>
      <w:r>
        <w:t xml:space="preserve">Para la </w:t>
      </w:r>
      <w:r w:rsidR="00BC6542">
        <w:t xml:space="preserve">caución </w:t>
      </w:r>
      <w:r>
        <w:t xml:space="preserve">correspondiente al 10% del subsidio existirá un mecanismo </w:t>
      </w:r>
      <w:r w:rsidR="00BC6542">
        <w:t>de</w:t>
      </w:r>
      <w:r>
        <w:t xml:space="preserve"> reduc</w:t>
      </w:r>
      <w:r w:rsidR="00BC6542">
        <w:t>ción</w:t>
      </w:r>
      <w:r>
        <w:t xml:space="preserve"> su monto de manera anual.</w:t>
      </w:r>
    </w:p>
    <w:p w:rsidR="00EA06FF" w:rsidRDefault="00EA06FF" w:rsidP="002E2977">
      <w:pPr>
        <w:spacing w:before="0" w:after="0" w:line="240" w:lineRule="auto"/>
        <w:jc w:val="both"/>
      </w:pPr>
    </w:p>
    <w:p w:rsidR="00EA06FF" w:rsidRDefault="00EA06FF" w:rsidP="002E2977">
      <w:pPr>
        <w:spacing w:before="0" w:after="0" w:line="240" w:lineRule="auto"/>
        <w:jc w:val="both"/>
      </w:pPr>
      <w:r>
        <w:t xml:space="preserve">Finalmente si la Beneficiaria </w:t>
      </w:r>
      <w:r w:rsidRPr="00EA06FF">
        <w:t>solicit</w:t>
      </w:r>
      <w:r>
        <w:t>are</w:t>
      </w:r>
      <w:r w:rsidRPr="00EA06FF">
        <w:t xml:space="preserve"> un anticipo </w:t>
      </w:r>
      <w:r>
        <w:t xml:space="preserve"> de subsidio (máximo un 40% del subsidio máximo de la Troncal respectiva)</w:t>
      </w:r>
      <w:r w:rsidRPr="00EA06FF">
        <w:t xml:space="preserve">, </w:t>
      </w:r>
      <w:r>
        <w:t xml:space="preserve">ésta </w:t>
      </w:r>
      <w:r w:rsidRPr="00EA06FF">
        <w:t xml:space="preserve">deberán acompañar, junto a la solicitud de anticipo, una boleta de garantía </w:t>
      </w:r>
      <w:r>
        <w:t xml:space="preserve">bancaria </w:t>
      </w:r>
      <w:r w:rsidRPr="00EA06FF">
        <w:t>por un monto equivalente al 100% del anticipo solicitado</w:t>
      </w:r>
      <w:r w:rsidR="00193305">
        <w:t xml:space="preserve"> y con una vigencia mínima de 30 meses </w:t>
      </w:r>
      <w:r w:rsidR="00C7225C">
        <w:t>contados</w:t>
      </w:r>
      <w:r w:rsidR="00193305">
        <w:t xml:space="preserve"> desde su fecha de presentación que debe corresponder a la fecha de su solicitud.</w:t>
      </w:r>
    </w:p>
    <w:p w:rsidR="00094655" w:rsidRDefault="00094655" w:rsidP="002E2977">
      <w:pPr>
        <w:spacing w:before="0" w:after="0" w:line="240" w:lineRule="auto"/>
        <w:jc w:val="both"/>
      </w:pPr>
    </w:p>
    <w:p w:rsidR="00CC23D0" w:rsidRDefault="00CC23D0" w:rsidP="002E2977">
      <w:pPr>
        <w:spacing w:before="0" w:after="0" w:line="240" w:lineRule="auto"/>
        <w:jc w:val="both"/>
      </w:pPr>
    </w:p>
    <w:p w:rsidR="006F5A47" w:rsidRPr="00C34806" w:rsidRDefault="006F5A47" w:rsidP="00C34806">
      <w:pPr>
        <w:pStyle w:val="Ttulo3"/>
      </w:pPr>
      <w:r w:rsidRPr="00C34806">
        <w:lastRenderedPageBreak/>
        <w:t>Operación del Servicio de Infraestructura</w:t>
      </w:r>
    </w:p>
    <w:p w:rsidR="006F5A47" w:rsidRDefault="006F5A47" w:rsidP="005570A0">
      <w:pPr>
        <w:spacing w:before="0" w:after="0" w:line="240" w:lineRule="auto"/>
        <w:jc w:val="both"/>
      </w:pPr>
    </w:p>
    <w:p w:rsidR="006F676D" w:rsidRDefault="0096538A" w:rsidP="002E2977">
      <w:pPr>
        <w:spacing w:before="0" w:after="0" w:line="240" w:lineRule="auto"/>
        <w:jc w:val="both"/>
      </w:pPr>
      <w:r>
        <w:t>El</w:t>
      </w:r>
      <w:r w:rsidR="0050548F">
        <w:t xml:space="preserve"> Período de Obligatoriedad de las Exigencias de Bases (POEB) </w:t>
      </w:r>
      <w:r>
        <w:t xml:space="preserve">es de </w:t>
      </w:r>
      <w:r w:rsidR="0050548F">
        <w:t xml:space="preserve">20 años. </w:t>
      </w:r>
      <w:r w:rsidR="006F676D">
        <w:t>En dicho periodo, la Beneficiaria deberá prestar en Servicio de Infraestructura en los términos requeridos en las Bases de Concurso.</w:t>
      </w:r>
    </w:p>
    <w:p w:rsidR="006F676D" w:rsidRDefault="006F676D" w:rsidP="002E2977">
      <w:pPr>
        <w:spacing w:before="0" w:after="0" w:line="240" w:lineRule="auto"/>
        <w:jc w:val="both"/>
      </w:pPr>
    </w:p>
    <w:p w:rsidR="006F5A47" w:rsidRDefault="0050548F" w:rsidP="002E2977">
      <w:pPr>
        <w:spacing w:before="0" w:after="0" w:line="240" w:lineRule="auto"/>
        <w:jc w:val="both"/>
      </w:pPr>
      <w:r>
        <w:t>Por otra parte</w:t>
      </w:r>
      <w:r w:rsidR="00D90BA9">
        <w:t xml:space="preserve">, </w:t>
      </w:r>
      <w:r>
        <w:t xml:space="preserve"> se permitirá el uso de dos Canales Ópticos</w:t>
      </w:r>
      <w:r w:rsidR="006F676D">
        <w:t xml:space="preserve"> Submarinos y/o Canales Ópticos Terrestres</w:t>
      </w:r>
      <w:r>
        <w:t xml:space="preserve"> por parte de</w:t>
      </w:r>
      <w:r w:rsidR="006F676D">
        <w:t>l</w:t>
      </w:r>
      <w:r>
        <w:t xml:space="preserve"> </w:t>
      </w:r>
      <w:r w:rsidR="006F676D">
        <w:t>A</w:t>
      </w:r>
      <w:r>
        <w:t>djudicatari</w:t>
      </w:r>
      <w:r w:rsidR="006F676D">
        <w:t>o</w:t>
      </w:r>
      <w:r w:rsidR="00A514EE">
        <w:t xml:space="preserve"> para </w:t>
      </w:r>
      <w:r w:rsidR="006F676D">
        <w:t>sus</w:t>
      </w:r>
      <w:r w:rsidR="00A514EE">
        <w:t xml:space="preserve"> propio</w:t>
      </w:r>
      <w:r w:rsidR="006F676D">
        <w:t>s fines</w:t>
      </w:r>
      <w:r w:rsidR="00A514EE">
        <w:t xml:space="preserve">. Si </w:t>
      </w:r>
      <w:r w:rsidR="006F676D">
        <w:t>el</w:t>
      </w:r>
      <w:r w:rsidR="00A514EE">
        <w:t xml:space="preserve"> Adjudicatari</w:t>
      </w:r>
      <w:r w:rsidR="006F676D">
        <w:t>o</w:t>
      </w:r>
      <w:r w:rsidR="00A514EE">
        <w:t xml:space="preserve"> desea comercializar otros servicios </w:t>
      </w:r>
      <w:r w:rsidR="006F676D">
        <w:t xml:space="preserve">de telecomunicaciones </w:t>
      </w:r>
      <w:r w:rsidR="00A514EE">
        <w:t xml:space="preserve">sobre </w:t>
      </w:r>
      <w:r w:rsidR="006F676D">
        <w:t>dichos</w:t>
      </w:r>
      <w:r w:rsidR="00A514EE">
        <w:t xml:space="preserve"> canales</w:t>
      </w:r>
      <w:r w:rsidR="006F676D">
        <w:t>,</w:t>
      </w:r>
      <w:r w:rsidR="00A514EE">
        <w:t xml:space="preserve"> deberá solicitar la concesión correspondiente al servicio que pretenda entregar. </w:t>
      </w:r>
      <w:r w:rsidR="006F676D">
        <w:t xml:space="preserve">La comercialización </w:t>
      </w:r>
      <w:r w:rsidR="00A514EE">
        <w:t xml:space="preserve"> de los </w:t>
      </w:r>
      <w:r w:rsidR="006F676D">
        <w:t>C</w:t>
      </w:r>
      <w:r w:rsidR="00A514EE">
        <w:t xml:space="preserve">anales </w:t>
      </w:r>
      <w:r w:rsidR="006F676D">
        <w:t>Ó</w:t>
      </w:r>
      <w:r w:rsidR="00A514EE">
        <w:t xml:space="preserve">pticos </w:t>
      </w:r>
      <w:r w:rsidR="006F676D">
        <w:t xml:space="preserve">Submarinos y/o Canales Ópticos Terrestres es </w:t>
      </w:r>
      <w:r w:rsidR="00A514EE">
        <w:t>normado en las Bases de Concurso</w:t>
      </w:r>
      <w:r w:rsidR="006F676D">
        <w:t>,</w:t>
      </w:r>
      <w:r w:rsidR="00A514EE">
        <w:t xml:space="preserve"> manteniendo los principios de un</w:t>
      </w:r>
      <w:r w:rsidR="00A514EE" w:rsidRPr="00AE5D6B">
        <w:t xml:space="preserve"> acceso abierto y no discriminatorio</w:t>
      </w:r>
      <w:r w:rsidR="00A514EE">
        <w:t>.</w:t>
      </w:r>
    </w:p>
    <w:p w:rsidR="00684A7E" w:rsidRDefault="00684A7E" w:rsidP="005570A0">
      <w:pPr>
        <w:spacing w:before="0" w:after="0" w:line="240" w:lineRule="auto"/>
        <w:jc w:val="both"/>
        <w:rPr>
          <w:highlight w:val="yellow"/>
        </w:rPr>
      </w:pPr>
    </w:p>
    <w:p w:rsidR="008269E2" w:rsidRPr="008269E2" w:rsidRDefault="008269E2" w:rsidP="002E2977">
      <w:pPr>
        <w:pStyle w:val="Ttulo1"/>
        <w:rPr>
          <w:lang w:val="es-ES"/>
        </w:rPr>
      </w:pPr>
      <w:r w:rsidRPr="008269E2">
        <w:rPr>
          <w:lang w:val="es-ES"/>
        </w:rPr>
        <w:t>OTROS</w:t>
      </w:r>
    </w:p>
    <w:p w:rsidR="00491C8C" w:rsidRPr="00852421" w:rsidRDefault="00491C8C" w:rsidP="00491C8C">
      <w:pPr>
        <w:pStyle w:val="Ttulo3"/>
      </w:pPr>
      <w:r>
        <w:t>Polígonos Referenciales de Localidad</w:t>
      </w:r>
    </w:p>
    <w:p w:rsidR="00491C8C" w:rsidRDefault="00491C8C" w:rsidP="002E2977">
      <w:pPr>
        <w:spacing w:before="0" w:after="0" w:line="240" w:lineRule="auto"/>
        <w:jc w:val="both"/>
      </w:pPr>
    </w:p>
    <w:p w:rsidR="003F4AD9" w:rsidRDefault="00491C8C" w:rsidP="002E2977">
      <w:pPr>
        <w:spacing w:before="0" w:after="0" w:line="240" w:lineRule="auto"/>
        <w:jc w:val="both"/>
        <w:rPr>
          <w:highlight w:val="yellow"/>
        </w:rPr>
      </w:pPr>
      <w:r>
        <w:t>Las Beneficiarias</w:t>
      </w:r>
      <w:r w:rsidR="008269E2" w:rsidRPr="008269E2">
        <w:t>, de manera justificada</w:t>
      </w:r>
      <w:r w:rsidRPr="00491C8C">
        <w:t xml:space="preserve"> </w:t>
      </w:r>
      <w:r w:rsidRPr="008269E2">
        <w:t xml:space="preserve">en </w:t>
      </w:r>
      <w:r>
        <w:t>su correspondiente</w:t>
      </w:r>
      <w:r w:rsidRPr="008269E2">
        <w:t xml:space="preserve"> </w:t>
      </w:r>
      <w:r>
        <w:t>I</w:t>
      </w:r>
      <w:r w:rsidRPr="008269E2">
        <w:t>nforme de Ingeniería</w:t>
      </w:r>
      <w:r>
        <w:t xml:space="preserve"> de Detalle</w:t>
      </w:r>
      <w:r w:rsidR="008269E2" w:rsidRPr="008269E2">
        <w:t xml:space="preserve">, </w:t>
      </w:r>
      <w:r>
        <w:t xml:space="preserve">podrán </w:t>
      </w:r>
      <w:r w:rsidR="008269E2" w:rsidRPr="008269E2">
        <w:t>señal</w:t>
      </w:r>
      <w:r>
        <w:t>ar</w:t>
      </w:r>
      <w:r w:rsidR="008269E2" w:rsidRPr="008269E2">
        <w:t xml:space="preserve"> una ubicación </w:t>
      </w:r>
      <w:r w:rsidR="00EC4AFF">
        <w:t>distinta</w:t>
      </w:r>
      <w:r w:rsidR="00EC4AFF" w:rsidRPr="008269E2">
        <w:t xml:space="preserve"> </w:t>
      </w:r>
      <w:r w:rsidR="008269E2" w:rsidRPr="008269E2">
        <w:t xml:space="preserve">a la de los </w:t>
      </w:r>
      <w:r>
        <w:t>P</w:t>
      </w:r>
      <w:r w:rsidR="008269E2" w:rsidRPr="008269E2">
        <w:t xml:space="preserve">olígonos </w:t>
      </w:r>
      <w:r>
        <w:t xml:space="preserve">Referenciales de Localidad </w:t>
      </w:r>
      <w:r w:rsidR="008269E2" w:rsidRPr="008269E2">
        <w:t>establecidos</w:t>
      </w:r>
      <w:r>
        <w:t xml:space="preserve"> por SUBTEL</w:t>
      </w:r>
      <w:r w:rsidR="008269E2" w:rsidRPr="008269E2">
        <w:t xml:space="preserve">, en el evento </w:t>
      </w:r>
      <w:r>
        <w:t xml:space="preserve">de </w:t>
      </w:r>
      <w:r w:rsidR="008269E2" w:rsidRPr="008269E2">
        <w:t xml:space="preserve">que dicho polígono referencial se emplace en un área </w:t>
      </w:r>
      <w:r>
        <w:t>riesgosa o en un área con</w:t>
      </w:r>
      <w:r w:rsidR="008269E2" w:rsidRPr="008269E2">
        <w:t xml:space="preserve"> característica</w:t>
      </w:r>
      <w:r>
        <w:t>s</w:t>
      </w:r>
      <w:r w:rsidR="008269E2" w:rsidRPr="008269E2">
        <w:t xml:space="preserve"> que no </w:t>
      </w:r>
      <w:r>
        <w:t>permitan dar</w:t>
      </w:r>
      <w:r w:rsidR="008269E2" w:rsidRPr="008269E2">
        <w:t xml:space="preserve"> cumplimiento a los requerimientos </w:t>
      </w:r>
      <w:r w:rsidR="00EC4AFF">
        <w:t>exigidos</w:t>
      </w:r>
      <w:r>
        <w:t xml:space="preserve"> para la instalación y ubicación de los POIIT</w:t>
      </w:r>
      <w:r w:rsidR="008269E2" w:rsidRPr="008269E2">
        <w:t xml:space="preserve">. En dicho </w:t>
      </w:r>
      <w:r>
        <w:t>caso,</w:t>
      </w:r>
      <w:r w:rsidRPr="008269E2">
        <w:t xml:space="preserve"> </w:t>
      </w:r>
      <w:r w:rsidR="00EC4AFF">
        <w:t xml:space="preserve">el emplazamiento del polígono </w:t>
      </w:r>
      <w:r w:rsidR="008269E2" w:rsidRPr="008269E2">
        <w:t>debe</w:t>
      </w:r>
      <w:r>
        <w:t>rá</w:t>
      </w:r>
      <w:r w:rsidR="008269E2" w:rsidRPr="008269E2">
        <w:t xml:space="preserve"> </w:t>
      </w:r>
      <w:r w:rsidR="00EC4AFF">
        <w:t xml:space="preserve"> trasladarse a un sector cercano al</w:t>
      </w:r>
      <w:r w:rsidR="008269E2" w:rsidRPr="008269E2">
        <w:t xml:space="preserve"> polígon</w:t>
      </w:r>
      <w:r w:rsidR="00EC4AFF">
        <w:t>o original</w:t>
      </w:r>
      <w:r>
        <w:t>, con características similares a las del original.</w:t>
      </w:r>
    </w:p>
    <w:p w:rsidR="003F4AD9" w:rsidRDefault="003F4AD9" w:rsidP="005570A0">
      <w:pPr>
        <w:spacing w:before="0" w:after="0" w:line="240" w:lineRule="auto"/>
        <w:jc w:val="both"/>
        <w:rPr>
          <w:highlight w:val="yellow"/>
        </w:rPr>
      </w:pPr>
    </w:p>
    <w:p w:rsidR="006605BC" w:rsidRPr="00852421" w:rsidRDefault="006605BC" w:rsidP="006605BC">
      <w:pPr>
        <w:pStyle w:val="Ttulo3"/>
      </w:pPr>
      <w:r w:rsidRPr="00852975">
        <w:t>Margen</w:t>
      </w:r>
      <w:r w:rsidRPr="00EE0EE8">
        <w:t xml:space="preserve"> de trazado</w:t>
      </w:r>
      <w:r w:rsidRPr="00852421">
        <w:t xml:space="preserve"> terrestre en la Troncal Submarina</w:t>
      </w:r>
    </w:p>
    <w:p w:rsidR="006605BC" w:rsidRDefault="006605BC" w:rsidP="006605BC">
      <w:pPr>
        <w:spacing w:after="0" w:line="240" w:lineRule="auto"/>
        <w:jc w:val="both"/>
      </w:pPr>
      <w:r>
        <w:t>La longitud máxima del despliegue por tierra de cable de fibra óptica de la Troncal Submarina Austral es de 450 [km]</w:t>
      </w:r>
      <w:r w:rsidR="00491C8C">
        <w:t>, debiendo la Proponente considerar la instalación de una cantidad determinada de POIIT Submarinos, según sea la longitud de dicho despliegue</w:t>
      </w:r>
      <w:r>
        <w:t xml:space="preserve">. Sin embargo, las Bases de Concurso establecen que la Contraparte Técnica podrá autorizar una longitud mayor, siempre y cuando la Beneficiaria dé cuenta de los motivos técnicos que sustentan dicho requerimiento en el Informe de Ingeniería de Detalle y cumpla con todos los requerimientos establecidos para dicho trazado. </w:t>
      </w:r>
    </w:p>
    <w:p w:rsidR="006605BC" w:rsidRDefault="006605BC" w:rsidP="005570A0">
      <w:pPr>
        <w:spacing w:before="0" w:after="0" w:line="240" w:lineRule="auto"/>
        <w:jc w:val="both"/>
        <w:rPr>
          <w:highlight w:val="yellow"/>
        </w:rPr>
      </w:pPr>
    </w:p>
    <w:p w:rsidR="0063718F" w:rsidRDefault="0063718F" w:rsidP="005570A0">
      <w:pPr>
        <w:spacing w:before="0" w:after="0" w:line="240" w:lineRule="auto"/>
        <w:jc w:val="both"/>
        <w:rPr>
          <w:highlight w:val="yellow"/>
        </w:rPr>
      </w:pPr>
    </w:p>
    <w:p w:rsidR="0063718F" w:rsidRDefault="0063718F" w:rsidP="005570A0">
      <w:pPr>
        <w:spacing w:before="0" w:after="0" w:line="240" w:lineRule="auto"/>
        <w:jc w:val="both"/>
        <w:rPr>
          <w:highlight w:val="yellow"/>
        </w:rPr>
      </w:pPr>
    </w:p>
    <w:p w:rsidR="0063718F" w:rsidRDefault="0063718F" w:rsidP="005570A0">
      <w:pPr>
        <w:spacing w:before="0" w:after="0" w:line="240" w:lineRule="auto"/>
        <w:jc w:val="both"/>
        <w:rPr>
          <w:highlight w:val="yellow"/>
        </w:rPr>
      </w:pPr>
    </w:p>
    <w:p w:rsidR="0063718F" w:rsidRDefault="0063718F" w:rsidP="005570A0">
      <w:pPr>
        <w:spacing w:before="0" w:after="0" w:line="240" w:lineRule="auto"/>
        <w:jc w:val="both"/>
        <w:rPr>
          <w:highlight w:val="yellow"/>
        </w:rPr>
      </w:pPr>
    </w:p>
    <w:p w:rsidR="0063718F" w:rsidRDefault="0063718F" w:rsidP="005570A0">
      <w:pPr>
        <w:spacing w:before="0" w:after="0" w:line="240" w:lineRule="auto"/>
        <w:jc w:val="both"/>
        <w:rPr>
          <w:highlight w:val="yellow"/>
        </w:rPr>
      </w:pPr>
    </w:p>
    <w:p w:rsidR="0063718F" w:rsidRDefault="0063718F" w:rsidP="005570A0">
      <w:pPr>
        <w:spacing w:before="0" w:after="0" w:line="240" w:lineRule="auto"/>
        <w:jc w:val="both"/>
        <w:rPr>
          <w:highlight w:val="yellow"/>
        </w:rPr>
      </w:pPr>
    </w:p>
    <w:p w:rsidR="0063718F" w:rsidRDefault="0063718F" w:rsidP="005570A0">
      <w:pPr>
        <w:spacing w:before="0" w:after="0" w:line="240" w:lineRule="auto"/>
        <w:jc w:val="both"/>
        <w:rPr>
          <w:highlight w:val="yellow"/>
        </w:rPr>
      </w:pPr>
    </w:p>
    <w:p w:rsidR="0063718F" w:rsidRDefault="0063718F" w:rsidP="005570A0">
      <w:pPr>
        <w:spacing w:before="0" w:after="0" w:line="240" w:lineRule="auto"/>
        <w:jc w:val="both"/>
        <w:rPr>
          <w:highlight w:val="yellow"/>
        </w:rPr>
      </w:pPr>
    </w:p>
    <w:p w:rsidR="0063718F" w:rsidRDefault="0063718F" w:rsidP="005570A0">
      <w:pPr>
        <w:spacing w:before="0" w:after="0" w:line="240" w:lineRule="auto"/>
        <w:jc w:val="both"/>
        <w:rPr>
          <w:highlight w:val="yellow"/>
        </w:rPr>
      </w:pPr>
    </w:p>
    <w:p w:rsidR="00491C8C" w:rsidRDefault="00E930BC" w:rsidP="00E930BC">
      <w:pPr>
        <w:pStyle w:val="Ttulo1"/>
        <w:rPr>
          <w:lang w:val="es-ES"/>
        </w:rPr>
      </w:pPr>
      <w:bookmarkStart w:id="0" w:name="_GoBack"/>
      <w:bookmarkEnd w:id="0"/>
      <w:r>
        <w:rPr>
          <w:lang w:val="es-ES"/>
        </w:rPr>
        <w:lastRenderedPageBreak/>
        <w:t xml:space="preserve">Actividades y </w:t>
      </w:r>
      <w:r w:rsidRPr="00E930BC">
        <w:rPr>
          <w:lang w:val="es-ES"/>
        </w:rPr>
        <w:t>Plazos</w:t>
      </w:r>
    </w:p>
    <w:p w:rsidR="00664446" w:rsidRDefault="00664446" w:rsidP="002E2977">
      <w:pPr>
        <w:rPr>
          <w:lang w:val="es-ES"/>
        </w:rPr>
      </w:pPr>
      <w:r>
        <w:rPr>
          <w:lang w:val="es-ES"/>
        </w:rPr>
        <w:t>Para la realización del llamado a concurso y posterior adjudicación se requiere la realización de las siguientes actividades</w:t>
      </w:r>
      <w:r w:rsidR="00226491">
        <w:rPr>
          <w:lang w:val="es-ES"/>
        </w:rPr>
        <w:t>, Figura N</w:t>
      </w:r>
      <w:r w:rsidR="00491C8C">
        <w:rPr>
          <w:lang w:val="es-ES"/>
        </w:rPr>
        <w:t>°</w:t>
      </w:r>
      <w:r w:rsidR="00226491">
        <w:rPr>
          <w:lang w:val="es-ES"/>
        </w:rPr>
        <w:t xml:space="preserve"> 4:</w:t>
      </w:r>
    </w:p>
    <w:p w:rsidR="00D9107A" w:rsidRDefault="00226491" w:rsidP="00226491">
      <w:pPr>
        <w:jc w:val="center"/>
        <w:rPr>
          <w:lang w:val="es-ES"/>
        </w:rPr>
      </w:pPr>
      <w:r w:rsidRPr="00B0359E">
        <w:rPr>
          <w:noProof/>
        </w:rPr>
        <mc:AlternateContent>
          <mc:Choice Requires="wps">
            <w:drawing>
              <wp:anchor distT="0" distB="0" distL="114300" distR="114300" simplePos="0" relativeHeight="251663360" behindDoc="0" locked="0" layoutInCell="1" allowOverlap="1" wp14:anchorId="3FF49A4E" wp14:editId="25D074E9">
                <wp:simplePos x="0" y="0"/>
                <wp:positionH relativeFrom="column">
                  <wp:posOffset>4966652</wp:posOffset>
                </wp:positionH>
                <wp:positionV relativeFrom="paragraph">
                  <wp:posOffset>977901</wp:posOffset>
                </wp:positionV>
                <wp:extent cx="287655" cy="911860"/>
                <wp:effectExtent l="0" t="7302" r="9842" b="9843"/>
                <wp:wrapNone/>
                <wp:docPr id="32" name="17 Cerrar llave"/>
                <wp:cNvGraphicFramePr/>
                <a:graphic xmlns:a="http://schemas.openxmlformats.org/drawingml/2006/main">
                  <a:graphicData uri="http://schemas.microsoft.com/office/word/2010/wordprocessingShape">
                    <wps:wsp>
                      <wps:cNvSpPr/>
                      <wps:spPr>
                        <a:xfrm rot="5400000">
                          <a:off x="0" y="0"/>
                          <a:ext cx="287655" cy="911860"/>
                        </a:xfrm>
                        <a:prstGeom prst="rightBrac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V relativeFrom="margin">
                  <wp14:pctHeight>0</wp14:pctHeight>
                </wp14:sizeRelV>
              </wp:anchor>
            </w:drawing>
          </mc:Choice>
          <mc:Fallback>
            <w:pict>
              <v:shapetype w14:anchorId="3AC27D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7 Cerrar llave" o:spid="_x0000_s1026" type="#_x0000_t88" style="position:absolute;margin-left:391.05pt;margin-top:77pt;width:22.65pt;height:71.8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" adj="568" strokecolor="#8db3e2 [1311]"/>
            </w:pict>
          </mc:Fallback>
        </mc:AlternateContent>
      </w:r>
      <w:r w:rsidRPr="00B0359E">
        <w:rPr>
          <w:noProof/>
        </w:rPr>
        <mc:AlternateContent>
          <mc:Choice Requires="wps">
            <w:drawing>
              <wp:anchor distT="0" distB="0" distL="114300" distR="114300" simplePos="0" relativeHeight="251659264" behindDoc="0" locked="0" layoutInCell="1" allowOverlap="1" wp14:anchorId="4921C890" wp14:editId="301825D0">
                <wp:simplePos x="0" y="0"/>
                <wp:positionH relativeFrom="column">
                  <wp:posOffset>4653915</wp:posOffset>
                </wp:positionH>
                <wp:positionV relativeFrom="paragraph">
                  <wp:posOffset>1677670</wp:posOffset>
                </wp:positionV>
                <wp:extent cx="891540" cy="552450"/>
                <wp:effectExtent l="76200" t="57150" r="80010" b="95250"/>
                <wp:wrapNone/>
                <wp:docPr id="24" name="23 Rectángulo"/>
                <wp:cNvGraphicFramePr/>
                <a:graphic xmlns:a="http://schemas.openxmlformats.org/drawingml/2006/main">
                  <a:graphicData uri="http://schemas.microsoft.com/office/word/2010/wordprocessingShape">
                    <wps:wsp>
                      <wps:cNvSpPr/>
                      <wps:spPr>
                        <a:xfrm>
                          <a:off x="0" y="0"/>
                          <a:ext cx="891540" cy="552450"/>
                        </a:xfrm>
                        <a:prstGeom prst="rect">
                          <a:avLst/>
                        </a:prstGeom>
                      </wps:spPr>
                      <wps:style>
                        <a:lnRef idx="3">
                          <a:schemeClr val="lt1"/>
                        </a:lnRef>
                        <a:fillRef idx="1">
                          <a:schemeClr val="accent2"/>
                        </a:fillRef>
                        <a:effectRef idx="1">
                          <a:schemeClr val="accent2"/>
                        </a:effectRef>
                        <a:fontRef idx="minor">
                          <a:schemeClr val="lt1"/>
                        </a:fontRef>
                      </wps:style>
                      <wps:txbx>
                        <w:txbxContent>
                          <w:p w:rsidR="00491C8C" w:rsidRPr="00B0359E" w:rsidRDefault="00491C8C" w:rsidP="00B0359E">
                            <w:pPr>
                              <w:pStyle w:val="NormalWeb"/>
                              <w:spacing w:before="0" w:beforeAutospacing="0" w:after="101" w:afterAutospacing="0" w:line="216" w:lineRule="auto"/>
                              <w:jc w:val="center"/>
                              <w:rPr>
                                <w:sz w:val="16"/>
                                <w:szCs w:val="16"/>
                              </w:rPr>
                            </w:pPr>
                            <w:r w:rsidRPr="00B0359E">
                              <w:rPr>
                                <w:rFonts w:asciiTheme="minorHAnsi" w:hAnsi="Calibri" w:cstheme="minorBidi"/>
                                <w:color w:val="FFFFFF" w:themeColor="light1"/>
                                <w:kern w:val="24"/>
                                <w:sz w:val="16"/>
                                <w:szCs w:val="16"/>
                              </w:rPr>
                              <w:t>Septiembre 2017</w:t>
                            </w:r>
                          </w:p>
                        </w:txbxContent>
                      </wps:txbx>
                      <wps:bodyPr spcFirstLastPara="0" vert="horz" wrap="square" lIns="53340" tIns="53340" rIns="53340" bIns="5334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w14:anchorId="4921C890" id="23 Rectángulo" o:spid="_x0000_s1026" style="position:absolute;left:0;text-align:left;margin-left:366.45pt;margin-top:132.1pt;width:70.2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" fillcolor="#c0504d [3205]" strokecolor="white [3201]" strokeweight="3pt">
                <v:shadow on="t" color="black" opacity="24903f" origin=",.5" offset="0,.55556mm"/>
                <v:textbox inset="4.2pt,4.2pt,4.2pt,4.2pt">
                  <w:txbxContent>
                    <w:p w:rsidR="00491C8C" w:rsidRPr="00B0359E" w:rsidRDefault="00491C8C" w:rsidP="00B0359E">
                      <w:pPr>
                        <w:pStyle w:val="NormalWeb"/>
                        <w:spacing w:before="0" w:beforeAutospacing="0" w:after="101" w:afterAutospacing="0" w:line="216" w:lineRule="auto"/>
                        <w:jc w:val="center"/>
                        <w:rPr>
                          <w:sz w:val="16"/>
                          <w:szCs w:val="16"/>
                        </w:rPr>
                      </w:pPr>
                      <w:r w:rsidRPr="00B0359E">
                        <w:rPr>
                          <w:rFonts w:asciiTheme="minorHAnsi" w:hAnsi="Calibri" w:cstheme="minorBidi"/>
                          <w:color w:val="FFFFFF" w:themeColor="light1"/>
                          <w:kern w:val="24"/>
                          <w:sz w:val="16"/>
                          <w:szCs w:val="16"/>
                        </w:rPr>
                        <w:t>Septiembre 2017</w:t>
                      </w:r>
                    </w:p>
                  </w:txbxContent>
                </v:textbox>
              </v:rect>
            </w:pict>
          </mc:Fallback>
        </mc:AlternateContent>
      </w:r>
      <w:r w:rsidRPr="00B0359E">
        <w:rPr>
          <w:noProof/>
        </w:rPr>
        <mc:AlternateContent>
          <mc:Choice Requires="wps">
            <w:drawing>
              <wp:anchor distT="0" distB="0" distL="114300" distR="114300" simplePos="0" relativeHeight="251660288" behindDoc="0" locked="0" layoutInCell="1" allowOverlap="1" wp14:anchorId="296F6CD0" wp14:editId="32AE2FA5">
                <wp:simplePos x="0" y="0"/>
                <wp:positionH relativeFrom="column">
                  <wp:posOffset>3815080</wp:posOffset>
                </wp:positionH>
                <wp:positionV relativeFrom="paragraph">
                  <wp:posOffset>975360</wp:posOffset>
                </wp:positionV>
                <wp:extent cx="287655" cy="911860"/>
                <wp:effectExtent l="0" t="7302" r="9842" b="9843"/>
                <wp:wrapNone/>
                <wp:docPr id="18" name="17 Cerrar llave"/>
                <wp:cNvGraphicFramePr/>
                <a:graphic xmlns:a="http://schemas.openxmlformats.org/drawingml/2006/main">
                  <a:graphicData uri="http://schemas.microsoft.com/office/word/2010/wordprocessingShape">
                    <wps:wsp>
                      <wps:cNvSpPr/>
                      <wps:spPr>
                        <a:xfrm rot="5400000">
                          <a:off x="0" y="0"/>
                          <a:ext cx="287655" cy="911860"/>
                        </a:xfrm>
                        <a:prstGeom prst="rightBrac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V relativeFrom="margin">
                  <wp14:pctHeight>0</wp14:pctHeight>
                </wp14:sizeRelV>
              </wp:anchor>
            </w:drawing>
          </mc:Choice>
          <mc:Fallback>
            <w:pict>
              <v:shape w14:anchorId="42D66B96" id="17 Cerrar llave" o:spid="_x0000_s1026" type="#_x0000_t88" style="position:absolute;margin-left:300.4pt;margin-top:76.8pt;width:22.65pt;height:71.8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" adj="568" strokecolor="#8db3e2 [1311]"/>
            </w:pict>
          </mc:Fallback>
        </mc:AlternateContent>
      </w:r>
      <w:r w:rsidR="00C7225C">
        <w:rPr>
          <w:b/>
          <w:bCs/>
          <w:color w:val="365F91" w:themeColor="accent1" w:themeShade="BF"/>
          <w:sz w:val="16"/>
          <w:szCs w:val="16"/>
        </w:rPr>
        <w:t>Ilustración</w:t>
      </w:r>
      <w:r w:rsidRPr="00226491">
        <w:rPr>
          <w:b/>
          <w:bCs/>
          <w:color w:val="365F91" w:themeColor="accent1" w:themeShade="BF"/>
          <w:sz w:val="16"/>
          <w:szCs w:val="16"/>
        </w:rPr>
        <w:t xml:space="preserve"> N</w:t>
      </w:r>
      <w:r w:rsidR="006E6AFF">
        <w:rPr>
          <w:b/>
          <w:bCs/>
          <w:color w:val="365F91" w:themeColor="accent1" w:themeShade="BF"/>
          <w:sz w:val="16"/>
          <w:szCs w:val="16"/>
        </w:rPr>
        <w:t>°</w:t>
      </w:r>
      <w:r w:rsidRPr="00226491">
        <w:rPr>
          <w:b/>
          <w:bCs/>
          <w:color w:val="365F91" w:themeColor="accent1" w:themeShade="BF"/>
          <w:sz w:val="16"/>
          <w:szCs w:val="16"/>
        </w:rPr>
        <w:t xml:space="preserve"> </w:t>
      </w:r>
      <w:r w:rsidR="00C7225C">
        <w:rPr>
          <w:b/>
          <w:bCs/>
          <w:color w:val="365F91" w:themeColor="accent1" w:themeShade="BF"/>
          <w:sz w:val="16"/>
          <w:szCs w:val="16"/>
        </w:rPr>
        <w:t>3</w:t>
      </w:r>
      <w:r w:rsidRPr="00226491">
        <w:rPr>
          <w:b/>
          <w:bCs/>
          <w:color w:val="365F91" w:themeColor="accent1" w:themeShade="BF"/>
          <w:sz w:val="16"/>
          <w:szCs w:val="16"/>
        </w:rPr>
        <w:t>: Actividades y Plazos</w:t>
      </w:r>
      <w:r w:rsidR="002E2977">
        <w:rPr>
          <w:b/>
          <w:bCs/>
          <w:noProof/>
          <w:color w:val="365F91" w:themeColor="accent1" w:themeShade="BF"/>
          <w:sz w:val="16"/>
          <w:szCs w:val="16"/>
        </w:rPr>
        <w:drawing>
          <wp:inline distT="0" distB="0" distL="0" distR="0" wp14:anchorId="585A58D9" wp14:editId="1D0F4ECE">
            <wp:extent cx="5610225" cy="2324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0225" cy="2324100"/>
                    </a:xfrm>
                    <a:prstGeom prst="rect">
                      <a:avLst/>
                    </a:prstGeom>
                    <a:noFill/>
                    <a:ln>
                      <a:noFill/>
                    </a:ln>
                  </pic:spPr>
                </pic:pic>
              </a:graphicData>
            </a:graphic>
          </wp:inline>
        </w:drawing>
      </w:r>
    </w:p>
    <w:p w:rsidR="00BC20C8" w:rsidRDefault="00BC20C8" w:rsidP="002E2977">
      <w:pPr>
        <w:jc w:val="both"/>
        <w:rPr>
          <w:lang w:val="es-ES"/>
        </w:rPr>
      </w:pPr>
      <w:r>
        <w:rPr>
          <w:lang w:val="es-ES"/>
        </w:rPr>
        <w:t>Los plazos asociados a la visación de DIPRES y</w:t>
      </w:r>
      <w:r w:rsidR="00F36099">
        <w:rPr>
          <w:lang w:val="es-ES"/>
        </w:rPr>
        <w:t xml:space="preserve"> la</w:t>
      </w:r>
      <w:r>
        <w:rPr>
          <w:lang w:val="es-ES"/>
        </w:rPr>
        <w:t xml:space="preserve"> toma de razón de</w:t>
      </w:r>
      <w:r w:rsidR="00F36099">
        <w:rPr>
          <w:lang w:val="es-ES"/>
        </w:rPr>
        <w:t xml:space="preserve"> las Bases Específicas por parte de </w:t>
      </w:r>
      <w:r>
        <w:rPr>
          <w:lang w:val="es-ES"/>
        </w:rPr>
        <w:t xml:space="preserve"> Contraloría General de la Re</w:t>
      </w:r>
      <w:r w:rsidR="004E4EA2">
        <w:rPr>
          <w:lang w:val="es-ES"/>
        </w:rPr>
        <w:t>publica, no de</w:t>
      </w:r>
      <w:r w:rsidR="00474A9A">
        <w:rPr>
          <w:lang w:val="es-ES"/>
        </w:rPr>
        <w:t>penden de</w:t>
      </w:r>
      <w:r w:rsidR="004E4EA2">
        <w:rPr>
          <w:lang w:val="es-ES"/>
        </w:rPr>
        <w:t xml:space="preserve"> SUBTEL, pudiendo extenderse más allá de los indicados en esta estimación. </w:t>
      </w:r>
    </w:p>
    <w:sectPr w:rsidR="00BC20C8">
      <w:headerReference w:type="even" r:id="rId11"/>
      <w:headerReference w:type="default" r:id="rId12"/>
      <w:footerReference w:type="default" r:id="rId13"/>
      <w:head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FE" w:rsidRDefault="000307FE" w:rsidP="00F95B84">
      <w:pPr>
        <w:spacing w:before="0" w:after="0" w:line="240" w:lineRule="auto"/>
      </w:pPr>
      <w:r>
        <w:separator/>
      </w:r>
    </w:p>
  </w:endnote>
  <w:endnote w:type="continuationSeparator" w:id="0">
    <w:p w:rsidR="000307FE" w:rsidRDefault="000307FE" w:rsidP="00F95B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D0" w:rsidRDefault="00CC23D0" w:rsidP="00CC23D0">
    <w:pPr>
      <w:pStyle w:val="Piedepgina"/>
      <w:jc w:val="both"/>
      <w:rPr>
        <w:sz w:val="16"/>
      </w:rPr>
    </w:pPr>
  </w:p>
  <w:p w:rsidR="00CC23D0" w:rsidRDefault="00CC23D0" w:rsidP="00CC23D0">
    <w:pPr>
      <w:pStyle w:val="Piedepgina"/>
      <w:jc w:val="both"/>
      <w:rPr>
        <w:sz w:val="16"/>
      </w:rPr>
    </w:pPr>
  </w:p>
  <w:p w:rsidR="00CC23D0" w:rsidRDefault="00CC23D0" w:rsidP="00CC23D0">
    <w:pPr>
      <w:pStyle w:val="Piedepgina"/>
      <w:jc w:val="both"/>
      <w:rPr>
        <w:sz w:val="16"/>
      </w:rPr>
    </w:pPr>
  </w:p>
  <w:p w:rsidR="00CC23D0" w:rsidRDefault="00CC23D0" w:rsidP="00CC23D0">
    <w:pPr>
      <w:pStyle w:val="Piedepgina"/>
      <w:jc w:val="both"/>
      <w:rPr>
        <w:sz w:val="16"/>
      </w:rPr>
    </w:pPr>
    <w:r>
      <w:rPr>
        <w:noProof/>
        <w:sz w:val="16"/>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31694</wp:posOffset>
              </wp:positionV>
              <wp:extent cx="5580000" cy="0"/>
              <wp:effectExtent l="0" t="0" r="20955" b="19050"/>
              <wp:wrapNone/>
              <wp:docPr id="1" name="Conector recto 1"/>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F2B6D" id="Conector recto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5pt" to="43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" strokecolor="#272727 [2749]" strokeweight=".5pt"/>
          </w:pict>
        </mc:Fallback>
      </mc:AlternateContent>
    </w:r>
  </w:p>
  <w:p w:rsidR="00933F0F" w:rsidRPr="00CC23D0" w:rsidRDefault="00CC23D0" w:rsidP="00CC23D0">
    <w:pPr>
      <w:pStyle w:val="Piedepgina"/>
      <w:jc w:val="both"/>
      <w:rPr>
        <w:sz w:val="16"/>
      </w:rPr>
    </w:pPr>
    <w:r w:rsidRPr="00CC23D0">
      <w:rPr>
        <w:sz w:val="16"/>
      </w:rPr>
      <w:t>El presente documento es un material de apoyo para quienes tengan interés en participar en el Concurso Público “Fibra Óptica Austral”. El instrumento y texto oficial es aquel que constará en el respectivo acto administrativo totalmente tramitado que apruebe las Bases de Concurso.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FE" w:rsidRDefault="000307FE" w:rsidP="00F95B84">
      <w:pPr>
        <w:spacing w:before="0" w:after="0" w:line="240" w:lineRule="auto"/>
      </w:pPr>
      <w:r>
        <w:separator/>
      </w:r>
    </w:p>
  </w:footnote>
  <w:footnote w:type="continuationSeparator" w:id="0">
    <w:p w:rsidR="000307FE" w:rsidRDefault="000307FE" w:rsidP="00F95B84">
      <w:pPr>
        <w:spacing w:before="0" w:after="0" w:line="240" w:lineRule="auto"/>
      </w:pPr>
      <w:r>
        <w:continuationSeparator/>
      </w:r>
    </w:p>
  </w:footnote>
  <w:footnote w:id="1">
    <w:p w:rsidR="00933F0F" w:rsidRDefault="00933F0F" w:rsidP="00933F0F">
      <w:pPr>
        <w:pStyle w:val="Textonotapie"/>
      </w:pPr>
      <w:r>
        <w:rPr>
          <w:rStyle w:val="Refdenotaalpie"/>
        </w:rPr>
        <w:footnoteRef/>
      </w:r>
      <w:r>
        <w:t xml:space="preserve"> Artículo 3° de la Ley N° 18.168, General de Telecomunicaciones en relación al Decreto Supremo N° 99, de 2012, del Ministerio de Transportes y Telecomunicaciones, Reglamento del Operador de Infraestructura.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66" w:rsidRDefault="00933F0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11487" o:spid="_x0000_s2053" type="#_x0000_t136" style="position:absolute;margin-left:0;margin-top:0;width:467.3pt;height:155.75pt;rotation:315;z-index:-251655168;mso-position-horizontal:center;mso-position-horizontal-relative:margin;mso-position-vertical:center;mso-position-vertical-relative:margin" o:allowincell="f" fillcolor="silver" stroked="f">
          <v:fill opacity=".5"/>
          <v:textpath style="font-family:&quot;Calibri&quot;;font-size:1pt" string="NO O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2" w:space="0" w:color="112252"/>
      </w:tblBorders>
      <w:tblLook w:val="04A0" w:firstRow="1" w:lastRow="0" w:firstColumn="1" w:lastColumn="0" w:noHBand="0" w:noVBand="1"/>
    </w:tblPr>
    <w:tblGrid>
      <w:gridCol w:w="7168"/>
      <w:gridCol w:w="1476"/>
    </w:tblGrid>
    <w:tr w:rsidR="00491C8C" w:rsidRPr="00FE6ED5" w:rsidTr="00491C8C">
      <w:tc>
        <w:tcPr>
          <w:tcW w:w="7168" w:type="dxa"/>
          <w:tcBorders>
            <w:top w:val="nil"/>
            <w:left w:val="nil"/>
            <w:bottom w:val="single" w:sz="12" w:space="0" w:color="112252"/>
            <w:right w:val="nil"/>
          </w:tcBorders>
          <w:vAlign w:val="center"/>
        </w:tcPr>
        <w:p w:rsidR="00491C8C" w:rsidRDefault="00933F0F" w:rsidP="008C22FD">
          <w:pPr>
            <w:pStyle w:val="Encabezado"/>
            <w:tabs>
              <w:tab w:val="center" w:pos="2127"/>
            </w:tabs>
            <w:rPr>
              <w:color w:val="11225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11488" o:spid="_x0000_s2054" type="#_x0000_t136" style="position:absolute;margin-left:0;margin-top:0;width:467.3pt;height:155.75pt;rotation:315;z-index:-251653120;mso-position-horizontal:center;mso-position-horizontal-relative:margin;mso-position-vertical:center;mso-position-vertical-relative:margin" o:allowincell="f" fillcolor="silver" stroked="f">
                <v:fill opacity=".5"/>
                <v:textpath style="font-family:&quot;Calibri&quot;;font-size:1pt" string="NO OFICIAL"/>
              </v:shape>
            </w:pict>
          </w:r>
          <w:r w:rsidR="00491C8C" w:rsidRPr="00FE6ED5">
            <w:rPr>
              <w:color w:val="112252"/>
            </w:rPr>
            <w:t>Subsecretaría de Telecomunicaciones</w:t>
          </w:r>
        </w:p>
        <w:p w:rsidR="008C22FD" w:rsidRPr="00FE6ED5" w:rsidRDefault="008C22FD" w:rsidP="008C22FD">
          <w:pPr>
            <w:pStyle w:val="Encabezado"/>
            <w:tabs>
              <w:tab w:val="center" w:pos="2127"/>
            </w:tabs>
            <w:rPr>
              <w:rFonts w:ascii="Century Gothic" w:hAnsi="Century Gothic"/>
              <w:color w:val="112252"/>
              <w:lang w:val="es-ES"/>
            </w:rPr>
          </w:pPr>
          <w:r>
            <w:rPr>
              <w:color w:val="112252"/>
            </w:rPr>
            <w:t xml:space="preserve">Ministerio de Transportes y Telecomunicaciones </w:t>
          </w:r>
        </w:p>
      </w:tc>
      <w:tc>
        <w:tcPr>
          <w:tcW w:w="1476" w:type="dxa"/>
          <w:tcBorders>
            <w:top w:val="nil"/>
            <w:left w:val="nil"/>
            <w:bottom w:val="single" w:sz="12" w:space="0" w:color="112252"/>
            <w:right w:val="nil"/>
          </w:tcBorders>
          <w:vAlign w:val="center"/>
        </w:tcPr>
        <w:p w:rsidR="00491C8C" w:rsidRPr="00FE6ED5" w:rsidRDefault="00491C8C" w:rsidP="00491C8C">
          <w:pPr>
            <w:pStyle w:val="Encabezado"/>
            <w:rPr>
              <w:rFonts w:ascii="Century Gothic" w:hAnsi="Century Gothic"/>
              <w:color w:val="112252"/>
              <w:lang w:val="es-ES"/>
            </w:rPr>
          </w:pPr>
          <w:r>
            <w:rPr>
              <w:rFonts w:ascii="Century Gothic" w:hAnsi="Century Gothic"/>
              <w:noProof/>
              <w:color w:val="112252"/>
            </w:rPr>
            <w:drawing>
              <wp:inline distT="0" distB="0" distL="0" distR="0" wp14:anchorId="38BDA474" wp14:editId="5E5AD6F2">
                <wp:extent cx="716915" cy="716915"/>
                <wp:effectExtent l="0" t="0" r="6985"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r>
  </w:tbl>
  <w:p w:rsidR="00491C8C" w:rsidRDefault="00491C8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66" w:rsidRDefault="00933F0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11486" o:spid="_x0000_s2052" type="#_x0000_t136" style="position:absolute;margin-left:0;margin-top:0;width:467.3pt;height:155.75pt;rotation:315;z-index:-251657216;mso-position-horizontal:center;mso-position-horizontal-relative:margin;mso-position-vertical:center;mso-position-vertical-relative:margin" o:allowincell="f" fillcolor="silver" stroked="f">
          <v:fill opacity=".5"/>
          <v:textpath style="font-family:&quot;Calibri&quot;;font-size:1pt" string="NO O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E6D"/>
    <w:multiLevelType w:val="hybridMultilevel"/>
    <w:tmpl w:val="06EE46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A71E4C"/>
    <w:multiLevelType w:val="hybridMultilevel"/>
    <w:tmpl w:val="1A6880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2977E1"/>
    <w:multiLevelType w:val="hybridMultilevel"/>
    <w:tmpl w:val="8BAE2A84"/>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15:restartNumberingAfterBreak="0">
    <w:nsid w:val="1F3B5CB2"/>
    <w:multiLevelType w:val="hybridMultilevel"/>
    <w:tmpl w:val="E8D4890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25C93F21"/>
    <w:multiLevelType w:val="multilevel"/>
    <w:tmpl w:val="9FA286B4"/>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 w15:restartNumberingAfterBreak="0">
    <w:nsid w:val="262E5C2D"/>
    <w:multiLevelType w:val="hybridMultilevel"/>
    <w:tmpl w:val="06F2BC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C125FAC"/>
    <w:multiLevelType w:val="hybridMultilevel"/>
    <w:tmpl w:val="3D7E679A"/>
    <w:lvl w:ilvl="0" w:tplc="340A0001">
      <w:start w:val="1"/>
      <w:numFmt w:val="bullet"/>
      <w:lvlText w:val=""/>
      <w:lvlJc w:val="left"/>
      <w:pPr>
        <w:ind w:left="1416" w:hanging="360"/>
      </w:pPr>
      <w:rPr>
        <w:rFonts w:ascii="Symbol" w:hAnsi="Symbol" w:hint="default"/>
      </w:rPr>
    </w:lvl>
    <w:lvl w:ilvl="1" w:tplc="340A0003" w:tentative="1">
      <w:start w:val="1"/>
      <w:numFmt w:val="bullet"/>
      <w:lvlText w:val="o"/>
      <w:lvlJc w:val="left"/>
      <w:pPr>
        <w:ind w:left="2136" w:hanging="360"/>
      </w:pPr>
      <w:rPr>
        <w:rFonts w:ascii="Courier New" w:hAnsi="Courier New" w:cs="Courier New" w:hint="default"/>
      </w:rPr>
    </w:lvl>
    <w:lvl w:ilvl="2" w:tplc="340A0005" w:tentative="1">
      <w:start w:val="1"/>
      <w:numFmt w:val="bullet"/>
      <w:lvlText w:val=""/>
      <w:lvlJc w:val="left"/>
      <w:pPr>
        <w:ind w:left="2856" w:hanging="360"/>
      </w:pPr>
      <w:rPr>
        <w:rFonts w:ascii="Wingdings" w:hAnsi="Wingdings" w:hint="default"/>
      </w:rPr>
    </w:lvl>
    <w:lvl w:ilvl="3" w:tplc="340A0001" w:tentative="1">
      <w:start w:val="1"/>
      <w:numFmt w:val="bullet"/>
      <w:lvlText w:val=""/>
      <w:lvlJc w:val="left"/>
      <w:pPr>
        <w:ind w:left="3576" w:hanging="360"/>
      </w:pPr>
      <w:rPr>
        <w:rFonts w:ascii="Symbol" w:hAnsi="Symbol" w:hint="default"/>
      </w:rPr>
    </w:lvl>
    <w:lvl w:ilvl="4" w:tplc="340A0003" w:tentative="1">
      <w:start w:val="1"/>
      <w:numFmt w:val="bullet"/>
      <w:lvlText w:val="o"/>
      <w:lvlJc w:val="left"/>
      <w:pPr>
        <w:ind w:left="4296" w:hanging="360"/>
      </w:pPr>
      <w:rPr>
        <w:rFonts w:ascii="Courier New" w:hAnsi="Courier New" w:cs="Courier New" w:hint="default"/>
      </w:rPr>
    </w:lvl>
    <w:lvl w:ilvl="5" w:tplc="340A0005" w:tentative="1">
      <w:start w:val="1"/>
      <w:numFmt w:val="bullet"/>
      <w:lvlText w:val=""/>
      <w:lvlJc w:val="left"/>
      <w:pPr>
        <w:ind w:left="5016" w:hanging="360"/>
      </w:pPr>
      <w:rPr>
        <w:rFonts w:ascii="Wingdings" w:hAnsi="Wingdings" w:hint="default"/>
      </w:rPr>
    </w:lvl>
    <w:lvl w:ilvl="6" w:tplc="340A0001" w:tentative="1">
      <w:start w:val="1"/>
      <w:numFmt w:val="bullet"/>
      <w:lvlText w:val=""/>
      <w:lvlJc w:val="left"/>
      <w:pPr>
        <w:ind w:left="5736" w:hanging="360"/>
      </w:pPr>
      <w:rPr>
        <w:rFonts w:ascii="Symbol" w:hAnsi="Symbol" w:hint="default"/>
      </w:rPr>
    </w:lvl>
    <w:lvl w:ilvl="7" w:tplc="340A0003" w:tentative="1">
      <w:start w:val="1"/>
      <w:numFmt w:val="bullet"/>
      <w:lvlText w:val="o"/>
      <w:lvlJc w:val="left"/>
      <w:pPr>
        <w:ind w:left="6456" w:hanging="360"/>
      </w:pPr>
      <w:rPr>
        <w:rFonts w:ascii="Courier New" w:hAnsi="Courier New" w:cs="Courier New" w:hint="default"/>
      </w:rPr>
    </w:lvl>
    <w:lvl w:ilvl="8" w:tplc="340A0005" w:tentative="1">
      <w:start w:val="1"/>
      <w:numFmt w:val="bullet"/>
      <w:lvlText w:val=""/>
      <w:lvlJc w:val="left"/>
      <w:pPr>
        <w:ind w:left="7176" w:hanging="360"/>
      </w:pPr>
      <w:rPr>
        <w:rFonts w:ascii="Wingdings" w:hAnsi="Wingdings" w:hint="default"/>
      </w:rPr>
    </w:lvl>
  </w:abstractNum>
  <w:abstractNum w:abstractNumId="7" w15:restartNumberingAfterBreak="0">
    <w:nsid w:val="3777051A"/>
    <w:multiLevelType w:val="hybridMultilevel"/>
    <w:tmpl w:val="D1BE21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A2E4053"/>
    <w:multiLevelType w:val="hybridMultilevel"/>
    <w:tmpl w:val="C980B8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15:restartNumberingAfterBreak="0">
    <w:nsid w:val="3E057D96"/>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1356C0"/>
    <w:multiLevelType w:val="hybridMultilevel"/>
    <w:tmpl w:val="A7DE626A"/>
    <w:lvl w:ilvl="0" w:tplc="340A000F">
      <w:start w:val="1"/>
      <w:numFmt w:val="decimal"/>
      <w:lvlText w:val="%1."/>
      <w:lvlJc w:val="left"/>
      <w:pPr>
        <w:ind w:left="360" w:hanging="360"/>
      </w:pPr>
      <w:rPr>
        <w:rFont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4A073DD4"/>
    <w:multiLevelType w:val="hybridMultilevel"/>
    <w:tmpl w:val="4C4A0938"/>
    <w:lvl w:ilvl="0" w:tplc="1F02F3F2">
      <w:start w:val="1"/>
      <w:numFmt w:val="bullet"/>
      <w:lvlText w:val="•"/>
      <w:lvlJc w:val="left"/>
      <w:pPr>
        <w:tabs>
          <w:tab w:val="num" w:pos="720"/>
        </w:tabs>
        <w:ind w:left="720" w:hanging="360"/>
      </w:pPr>
      <w:rPr>
        <w:rFonts w:ascii="Times New Roman" w:hAnsi="Times New Roman" w:hint="default"/>
      </w:rPr>
    </w:lvl>
    <w:lvl w:ilvl="1" w:tplc="510C91C8" w:tentative="1">
      <w:start w:val="1"/>
      <w:numFmt w:val="bullet"/>
      <w:lvlText w:val="•"/>
      <w:lvlJc w:val="left"/>
      <w:pPr>
        <w:tabs>
          <w:tab w:val="num" w:pos="1440"/>
        </w:tabs>
        <w:ind w:left="1440" w:hanging="360"/>
      </w:pPr>
      <w:rPr>
        <w:rFonts w:ascii="Times New Roman" w:hAnsi="Times New Roman" w:hint="default"/>
      </w:rPr>
    </w:lvl>
    <w:lvl w:ilvl="2" w:tplc="33523496" w:tentative="1">
      <w:start w:val="1"/>
      <w:numFmt w:val="bullet"/>
      <w:lvlText w:val="•"/>
      <w:lvlJc w:val="left"/>
      <w:pPr>
        <w:tabs>
          <w:tab w:val="num" w:pos="2160"/>
        </w:tabs>
        <w:ind w:left="2160" w:hanging="360"/>
      </w:pPr>
      <w:rPr>
        <w:rFonts w:ascii="Times New Roman" w:hAnsi="Times New Roman" w:hint="default"/>
      </w:rPr>
    </w:lvl>
    <w:lvl w:ilvl="3" w:tplc="BB485A58" w:tentative="1">
      <w:start w:val="1"/>
      <w:numFmt w:val="bullet"/>
      <w:lvlText w:val="•"/>
      <w:lvlJc w:val="left"/>
      <w:pPr>
        <w:tabs>
          <w:tab w:val="num" w:pos="2880"/>
        </w:tabs>
        <w:ind w:left="2880" w:hanging="360"/>
      </w:pPr>
      <w:rPr>
        <w:rFonts w:ascii="Times New Roman" w:hAnsi="Times New Roman" w:hint="default"/>
      </w:rPr>
    </w:lvl>
    <w:lvl w:ilvl="4" w:tplc="4DC622E8" w:tentative="1">
      <w:start w:val="1"/>
      <w:numFmt w:val="bullet"/>
      <w:lvlText w:val="•"/>
      <w:lvlJc w:val="left"/>
      <w:pPr>
        <w:tabs>
          <w:tab w:val="num" w:pos="3600"/>
        </w:tabs>
        <w:ind w:left="3600" w:hanging="360"/>
      </w:pPr>
      <w:rPr>
        <w:rFonts w:ascii="Times New Roman" w:hAnsi="Times New Roman" w:hint="default"/>
      </w:rPr>
    </w:lvl>
    <w:lvl w:ilvl="5" w:tplc="97D2F7C4" w:tentative="1">
      <w:start w:val="1"/>
      <w:numFmt w:val="bullet"/>
      <w:lvlText w:val="•"/>
      <w:lvlJc w:val="left"/>
      <w:pPr>
        <w:tabs>
          <w:tab w:val="num" w:pos="4320"/>
        </w:tabs>
        <w:ind w:left="4320" w:hanging="360"/>
      </w:pPr>
      <w:rPr>
        <w:rFonts w:ascii="Times New Roman" w:hAnsi="Times New Roman" w:hint="default"/>
      </w:rPr>
    </w:lvl>
    <w:lvl w:ilvl="6" w:tplc="C08EAEE8" w:tentative="1">
      <w:start w:val="1"/>
      <w:numFmt w:val="bullet"/>
      <w:lvlText w:val="•"/>
      <w:lvlJc w:val="left"/>
      <w:pPr>
        <w:tabs>
          <w:tab w:val="num" w:pos="5040"/>
        </w:tabs>
        <w:ind w:left="5040" w:hanging="360"/>
      </w:pPr>
      <w:rPr>
        <w:rFonts w:ascii="Times New Roman" w:hAnsi="Times New Roman" w:hint="default"/>
      </w:rPr>
    </w:lvl>
    <w:lvl w:ilvl="7" w:tplc="70D64788" w:tentative="1">
      <w:start w:val="1"/>
      <w:numFmt w:val="bullet"/>
      <w:lvlText w:val="•"/>
      <w:lvlJc w:val="left"/>
      <w:pPr>
        <w:tabs>
          <w:tab w:val="num" w:pos="5760"/>
        </w:tabs>
        <w:ind w:left="5760" w:hanging="360"/>
      </w:pPr>
      <w:rPr>
        <w:rFonts w:ascii="Times New Roman" w:hAnsi="Times New Roman" w:hint="default"/>
      </w:rPr>
    </w:lvl>
    <w:lvl w:ilvl="8" w:tplc="ADFAF9F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7A04A9"/>
    <w:multiLevelType w:val="hybridMultilevel"/>
    <w:tmpl w:val="FE163D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44D5E2F"/>
    <w:multiLevelType w:val="hybridMultilevel"/>
    <w:tmpl w:val="1D5CBC2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6135C1C"/>
    <w:multiLevelType w:val="hybridMultilevel"/>
    <w:tmpl w:val="441402C4"/>
    <w:lvl w:ilvl="0" w:tplc="7BECAC02">
      <w:numFmt w:val="bullet"/>
      <w:lvlText w:val="-"/>
      <w:lvlJc w:val="left"/>
      <w:pPr>
        <w:ind w:left="644" w:hanging="360"/>
      </w:pPr>
      <w:rPr>
        <w:rFonts w:ascii="Calibri" w:eastAsiaTheme="minorEastAsia" w:hAnsi="Calibri" w:cstheme="minorBidi"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5" w15:restartNumberingAfterBreak="0">
    <w:nsid w:val="57495140"/>
    <w:multiLevelType w:val="hybridMultilevel"/>
    <w:tmpl w:val="9998E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D8C0F5B"/>
    <w:multiLevelType w:val="hybridMultilevel"/>
    <w:tmpl w:val="893EAA9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0416527"/>
    <w:multiLevelType w:val="hybridMultilevel"/>
    <w:tmpl w:val="D0305378"/>
    <w:lvl w:ilvl="0" w:tplc="340A000F">
      <w:start w:val="1"/>
      <w:numFmt w:val="decimal"/>
      <w:lvlText w:val="%1."/>
      <w:lvlJc w:val="left"/>
      <w:pPr>
        <w:ind w:left="360" w:hanging="360"/>
      </w:pPr>
      <w:rPr>
        <w:rFont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61154001"/>
    <w:multiLevelType w:val="hybridMultilevel"/>
    <w:tmpl w:val="31D63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C084725"/>
    <w:multiLevelType w:val="hybridMultilevel"/>
    <w:tmpl w:val="E1C28036"/>
    <w:lvl w:ilvl="0" w:tplc="340A0017">
      <w:start w:val="1"/>
      <w:numFmt w:val="lowerLetter"/>
      <w:lvlText w:val="%1)"/>
      <w:lvlJc w:val="left"/>
      <w:pPr>
        <w:ind w:left="360" w:hanging="360"/>
      </w:pPr>
      <w:rPr>
        <w:rFont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75AA4379"/>
    <w:multiLevelType w:val="hybridMultilevel"/>
    <w:tmpl w:val="90DA7400"/>
    <w:lvl w:ilvl="0" w:tplc="340A000F">
      <w:start w:val="1"/>
      <w:numFmt w:val="decimal"/>
      <w:lvlText w:val="%1."/>
      <w:lvlJc w:val="left"/>
      <w:pPr>
        <w:ind w:left="360" w:hanging="360"/>
      </w:pPr>
      <w:rPr>
        <w:rFont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76F857D5"/>
    <w:multiLevelType w:val="hybridMultilevel"/>
    <w:tmpl w:val="9836F65A"/>
    <w:lvl w:ilvl="0" w:tplc="63AA02DC">
      <w:start w:val="1"/>
      <w:numFmt w:val="bullet"/>
      <w:lvlText w:val="•"/>
      <w:lvlJc w:val="left"/>
      <w:pPr>
        <w:tabs>
          <w:tab w:val="num" w:pos="720"/>
        </w:tabs>
        <w:ind w:left="720" w:hanging="360"/>
      </w:pPr>
      <w:rPr>
        <w:rFonts w:ascii="Times New Roman" w:hAnsi="Times New Roman" w:hint="default"/>
      </w:rPr>
    </w:lvl>
    <w:lvl w:ilvl="1" w:tplc="F4621106" w:tentative="1">
      <w:start w:val="1"/>
      <w:numFmt w:val="bullet"/>
      <w:lvlText w:val="•"/>
      <w:lvlJc w:val="left"/>
      <w:pPr>
        <w:tabs>
          <w:tab w:val="num" w:pos="1440"/>
        </w:tabs>
        <w:ind w:left="1440" w:hanging="360"/>
      </w:pPr>
      <w:rPr>
        <w:rFonts w:ascii="Times New Roman" w:hAnsi="Times New Roman" w:hint="default"/>
      </w:rPr>
    </w:lvl>
    <w:lvl w:ilvl="2" w:tplc="697047D8" w:tentative="1">
      <w:start w:val="1"/>
      <w:numFmt w:val="bullet"/>
      <w:lvlText w:val="•"/>
      <w:lvlJc w:val="left"/>
      <w:pPr>
        <w:tabs>
          <w:tab w:val="num" w:pos="2160"/>
        </w:tabs>
        <w:ind w:left="2160" w:hanging="360"/>
      </w:pPr>
      <w:rPr>
        <w:rFonts w:ascii="Times New Roman" w:hAnsi="Times New Roman" w:hint="default"/>
      </w:rPr>
    </w:lvl>
    <w:lvl w:ilvl="3" w:tplc="7ACEAC80" w:tentative="1">
      <w:start w:val="1"/>
      <w:numFmt w:val="bullet"/>
      <w:lvlText w:val="•"/>
      <w:lvlJc w:val="left"/>
      <w:pPr>
        <w:tabs>
          <w:tab w:val="num" w:pos="2880"/>
        </w:tabs>
        <w:ind w:left="2880" w:hanging="360"/>
      </w:pPr>
      <w:rPr>
        <w:rFonts w:ascii="Times New Roman" w:hAnsi="Times New Roman" w:hint="default"/>
      </w:rPr>
    </w:lvl>
    <w:lvl w:ilvl="4" w:tplc="187A4730" w:tentative="1">
      <w:start w:val="1"/>
      <w:numFmt w:val="bullet"/>
      <w:lvlText w:val="•"/>
      <w:lvlJc w:val="left"/>
      <w:pPr>
        <w:tabs>
          <w:tab w:val="num" w:pos="3600"/>
        </w:tabs>
        <w:ind w:left="3600" w:hanging="360"/>
      </w:pPr>
      <w:rPr>
        <w:rFonts w:ascii="Times New Roman" w:hAnsi="Times New Roman" w:hint="default"/>
      </w:rPr>
    </w:lvl>
    <w:lvl w:ilvl="5" w:tplc="8C1236C6" w:tentative="1">
      <w:start w:val="1"/>
      <w:numFmt w:val="bullet"/>
      <w:lvlText w:val="•"/>
      <w:lvlJc w:val="left"/>
      <w:pPr>
        <w:tabs>
          <w:tab w:val="num" w:pos="4320"/>
        </w:tabs>
        <w:ind w:left="4320" w:hanging="360"/>
      </w:pPr>
      <w:rPr>
        <w:rFonts w:ascii="Times New Roman" w:hAnsi="Times New Roman" w:hint="default"/>
      </w:rPr>
    </w:lvl>
    <w:lvl w:ilvl="6" w:tplc="D7684374" w:tentative="1">
      <w:start w:val="1"/>
      <w:numFmt w:val="bullet"/>
      <w:lvlText w:val="•"/>
      <w:lvlJc w:val="left"/>
      <w:pPr>
        <w:tabs>
          <w:tab w:val="num" w:pos="5040"/>
        </w:tabs>
        <w:ind w:left="5040" w:hanging="360"/>
      </w:pPr>
      <w:rPr>
        <w:rFonts w:ascii="Times New Roman" w:hAnsi="Times New Roman" w:hint="default"/>
      </w:rPr>
    </w:lvl>
    <w:lvl w:ilvl="7" w:tplc="28B03AF6" w:tentative="1">
      <w:start w:val="1"/>
      <w:numFmt w:val="bullet"/>
      <w:lvlText w:val="•"/>
      <w:lvlJc w:val="left"/>
      <w:pPr>
        <w:tabs>
          <w:tab w:val="num" w:pos="5760"/>
        </w:tabs>
        <w:ind w:left="5760" w:hanging="360"/>
      </w:pPr>
      <w:rPr>
        <w:rFonts w:ascii="Times New Roman" w:hAnsi="Times New Roman" w:hint="default"/>
      </w:rPr>
    </w:lvl>
    <w:lvl w:ilvl="8" w:tplc="82F44D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EE57B2"/>
    <w:multiLevelType w:val="hybridMultilevel"/>
    <w:tmpl w:val="3FB691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9"/>
  </w:num>
  <w:num w:numId="4">
    <w:abstractNumId w:val="4"/>
  </w:num>
  <w:num w:numId="5">
    <w:abstractNumId w:val="10"/>
  </w:num>
  <w:num w:numId="6">
    <w:abstractNumId w:val="20"/>
  </w:num>
  <w:num w:numId="7">
    <w:abstractNumId w:val="17"/>
  </w:num>
  <w:num w:numId="8">
    <w:abstractNumId w:val="6"/>
  </w:num>
  <w:num w:numId="9">
    <w:abstractNumId w:val="2"/>
  </w:num>
  <w:num w:numId="10">
    <w:abstractNumId w:val="11"/>
  </w:num>
  <w:num w:numId="11">
    <w:abstractNumId w:val="7"/>
  </w:num>
  <w:num w:numId="12">
    <w:abstractNumId w:val="12"/>
  </w:num>
  <w:num w:numId="13">
    <w:abstractNumId w:val="14"/>
  </w:num>
  <w:num w:numId="14">
    <w:abstractNumId w:val="21"/>
  </w:num>
  <w:num w:numId="15">
    <w:abstractNumId w:val="1"/>
  </w:num>
  <w:num w:numId="16">
    <w:abstractNumId w:val="15"/>
  </w:num>
  <w:num w:numId="17">
    <w:abstractNumId w:val="0"/>
  </w:num>
  <w:num w:numId="18">
    <w:abstractNumId w:val="16"/>
  </w:num>
  <w:num w:numId="19">
    <w:abstractNumId w:val="13"/>
  </w:num>
  <w:num w:numId="20">
    <w:abstractNumId w:val="5"/>
  </w:num>
  <w:num w:numId="21">
    <w:abstractNumId w:val="18"/>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4D"/>
    <w:rsid w:val="00003FD0"/>
    <w:rsid w:val="000072EB"/>
    <w:rsid w:val="00021CF3"/>
    <w:rsid w:val="000307FE"/>
    <w:rsid w:val="00035B9E"/>
    <w:rsid w:val="00051507"/>
    <w:rsid w:val="0005569D"/>
    <w:rsid w:val="00057CC8"/>
    <w:rsid w:val="000628FE"/>
    <w:rsid w:val="00084D88"/>
    <w:rsid w:val="000861A1"/>
    <w:rsid w:val="00094655"/>
    <w:rsid w:val="000A0579"/>
    <w:rsid w:val="000A19EA"/>
    <w:rsid w:val="000C6232"/>
    <w:rsid w:val="000D36F5"/>
    <w:rsid w:val="000F1FA7"/>
    <w:rsid w:val="000F5BED"/>
    <w:rsid w:val="000F703B"/>
    <w:rsid w:val="00124711"/>
    <w:rsid w:val="00124846"/>
    <w:rsid w:val="001476AA"/>
    <w:rsid w:val="00147D48"/>
    <w:rsid w:val="001551EE"/>
    <w:rsid w:val="0016359E"/>
    <w:rsid w:val="00165550"/>
    <w:rsid w:val="00191171"/>
    <w:rsid w:val="00193305"/>
    <w:rsid w:val="001B7A19"/>
    <w:rsid w:val="001C0BAE"/>
    <w:rsid w:val="001C4AF4"/>
    <w:rsid w:val="001E178F"/>
    <w:rsid w:val="002074F1"/>
    <w:rsid w:val="00214051"/>
    <w:rsid w:val="00222B2A"/>
    <w:rsid w:val="00226491"/>
    <w:rsid w:val="002321AC"/>
    <w:rsid w:val="002339F1"/>
    <w:rsid w:val="00236ED4"/>
    <w:rsid w:val="0024397C"/>
    <w:rsid w:val="00243F2C"/>
    <w:rsid w:val="00251F13"/>
    <w:rsid w:val="00274379"/>
    <w:rsid w:val="002A5932"/>
    <w:rsid w:val="002B3CC6"/>
    <w:rsid w:val="002D0032"/>
    <w:rsid w:val="002D0799"/>
    <w:rsid w:val="002E0C47"/>
    <w:rsid w:val="002E2977"/>
    <w:rsid w:val="002F6C7A"/>
    <w:rsid w:val="00300BFF"/>
    <w:rsid w:val="00302786"/>
    <w:rsid w:val="00321D0D"/>
    <w:rsid w:val="00337734"/>
    <w:rsid w:val="00345EA1"/>
    <w:rsid w:val="00372F80"/>
    <w:rsid w:val="00375BE6"/>
    <w:rsid w:val="00375CAE"/>
    <w:rsid w:val="003820DF"/>
    <w:rsid w:val="00384310"/>
    <w:rsid w:val="00384B99"/>
    <w:rsid w:val="0038593C"/>
    <w:rsid w:val="00390E66"/>
    <w:rsid w:val="003B0380"/>
    <w:rsid w:val="003B3255"/>
    <w:rsid w:val="003B5009"/>
    <w:rsid w:val="003C753D"/>
    <w:rsid w:val="003D0F39"/>
    <w:rsid w:val="003D5A3F"/>
    <w:rsid w:val="003E3061"/>
    <w:rsid w:val="003E60BC"/>
    <w:rsid w:val="003E66EA"/>
    <w:rsid w:val="003F4AD9"/>
    <w:rsid w:val="00404328"/>
    <w:rsid w:val="00416C80"/>
    <w:rsid w:val="00425A80"/>
    <w:rsid w:val="0044242E"/>
    <w:rsid w:val="004512E4"/>
    <w:rsid w:val="004569E2"/>
    <w:rsid w:val="004679B5"/>
    <w:rsid w:val="00472E3C"/>
    <w:rsid w:val="00474A9A"/>
    <w:rsid w:val="004823DA"/>
    <w:rsid w:val="0048513D"/>
    <w:rsid w:val="00485E00"/>
    <w:rsid w:val="004875CF"/>
    <w:rsid w:val="00491C8C"/>
    <w:rsid w:val="004A3907"/>
    <w:rsid w:val="004C203C"/>
    <w:rsid w:val="004C35E5"/>
    <w:rsid w:val="004C7FA5"/>
    <w:rsid w:val="004E21C8"/>
    <w:rsid w:val="004E3F23"/>
    <w:rsid w:val="004E4EA2"/>
    <w:rsid w:val="004F7B74"/>
    <w:rsid w:val="0050548F"/>
    <w:rsid w:val="00505CCE"/>
    <w:rsid w:val="00506CFC"/>
    <w:rsid w:val="005102B9"/>
    <w:rsid w:val="00510670"/>
    <w:rsid w:val="00512D97"/>
    <w:rsid w:val="0051452F"/>
    <w:rsid w:val="005176B0"/>
    <w:rsid w:val="00521D56"/>
    <w:rsid w:val="0052426B"/>
    <w:rsid w:val="00525D0E"/>
    <w:rsid w:val="00526D5C"/>
    <w:rsid w:val="00533564"/>
    <w:rsid w:val="00552899"/>
    <w:rsid w:val="00556E4C"/>
    <w:rsid w:val="005570A0"/>
    <w:rsid w:val="00565381"/>
    <w:rsid w:val="005827DB"/>
    <w:rsid w:val="00584D02"/>
    <w:rsid w:val="00595ED8"/>
    <w:rsid w:val="005B130D"/>
    <w:rsid w:val="005B20A4"/>
    <w:rsid w:val="005C0231"/>
    <w:rsid w:val="005C40CB"/>
    <w:rsid w:val="005C4476"/>
    <w:rsid w:val="005D17C8"/>
    <w:rsid w:val="005D1F85"/>
    <w:rsid w:val="005D5C0C"/>
    <w:rsid w:val="005E2A6C"/>
    <w:rsid w:val="005E6B1F"/>
    <w:rsid w:val="00611AC3"/>
    <w:rsid w:val="00613B30"/>
    <w:rsid w:val="00633946"/>
    <w:rsid w:val="0063718F"/>
    <w:rsid w:val="0065676C"/>
    <w:rsid w:val="006605BC"/>
    <w:rsid w:val="00664446"/>
    <w:rsid w:val="00684A7E"/>
    <w:rsid w:val="00694A3D"/>
    <w:rsid w:val="006A21AB"/>
    <w:rsid w:val="006A40C4"/>
    <w:rsid w:val="006A7704"/>
    <w:rsid w:val="006A7A7C"/>
    <w:rsid w:val="006C2E6B"/>
    <w:rsid w:val="006C44DE"/>
    <w:rsid w:val="006D0C05"/>
    <w:rsid w:val="006D6C0F"/>
    <w:rsid w:val="006E55A0"/>
    <w:rsid w:val="006E6AFF"/>
    <w:rsid w:val="006F0790"/>
    <w:rsid w:val="006F5A47"/>
    <w:rsid w:val="006F5CE2"/>
    <w:rsid w:val="006F676D"/>
    <w:rsid w:val="006F69A8"/>
    <w:rsid w:val="00723EDB"/>
    <w:rsid w:val="00735166"/>
    <w:rsid w:val="00762F37"/>
    <w:rsid w:val="007650AC"/>
    <w:rsid w:val="00776DB0"/>
    <w:rsid w:val="007777FA"/>
    <w:rsid w:val="0078409A"/>
    <w:rsid w:val="007B6FEC"/>
    <w:rsid w:val="007C1FBE"/>
    <w:rsid w:val="00806F4A"/>
    <w:rsid w:val="008111AF"/>
    <w:rsid w:val="00824FE1"/>
    <w:rsid w:val="008269E2"/>
    <w:rsid w:val="00827137"/>
    <w:rsid w:val="008400AA"/>
    <w:rsid w:val="00844947"/>
    <w:rsid w:val="00852975"/>
    <w:rsid w:val="00866312"/>
    <w:rsid w:val="00866E4D"/>
    <w:rsid w:val="00867BE1"/>
    <w:rsid w:val="008819F5"/>
    <w:rsid w:val="00892BA0"/>
    <w:rsid w:val="0089789B"/>
    <w:rsid w:val="008A2F08"/>
    <w:rsid w:val="008C22FD"/>
    <w:rsid w:val="008C600D"/>
    <w:rsid w:val="008D2E96"/>
    <w:rsid w:val="008F0C6F"/>
    <w:rsid w:val="008F18BE"/>
    <w:rsid w:val="008F6BAB"/>
    <w:rsid w:val="008F6D10"/>
    <w:rsid w:val="008F704D"/>
    <w:rsid w:val="008F7A0A"/>
    <w:rsid w:val="009013DA"/>
    <w:rsid w:val="00912D48"/>
    <w:rsid w:val="00922937"/>
    <w:rsid w:val="00924124"/>
    <w:rsid w:val="00933F0F"/>
    <w:rsid w:val="00937860"/>
    <w:rsid w:val="0094649C"/>
    <w:rsid w:val="00951257"/>
    <w:rsid w:val="00954B7F"/>
    <w:rsid w:val="0096131B"/>
    <w:rsid w:val="0096538A"/>
    <w:rsid w:val="00972E1D"/>
    <w:rsid w:val="00986543"/>
    <w:rsid w:val="009A2802"/>
    <w:rsid w:val="009A2B62"/>
    <w:rsid w:val="009A6DBC"/>
    <w:rsid w:val="009A798E"/>
    <w:rsid w:val="009B3B27"/>
    <w:rsid w:val="009D21B0"/>
    <w:rsid w:val="009D427F"/>
    <w:rsid w:val="009D551C"/>
    <w:rsid w:val="00A02019"/>
    <w:rsid w:val="00A071FC"/>
    <w:rsid w:val="00A07C19"/>
    <w:rsid w:val="00A2295A"/>
    <w:rsid w:val="00A2639B"/>
    <w:rsid w:val="00A26DC3"/>
    <w:rsid w:val="00A41250"/>
    <w:rsid w:val="00A44385"/>
    <w:rsid w:val="00A44492"/>
    <w:rsid w:val="00A514EE"/>
    <w:rsid w:val="00A63BA7"/>
    <w:rsid w:val="00A734CE"/>
    <w:rsid w:val="00A746D6"/>
    <w:rsid w:val="00A8375E"/>
    <w:rsid w:val="00A92097"/>
    <w:rsid w:val="00A944F8"/>
    <w:rsid w:val="00AA0A2D"/>
    <w:rsid w:val="00AA2C33"/>
    <w:rsid w:val="00AA2EB7"/>
    <w:rsid w:val="00AB37D3"/>
    <w:rsid w:val="00AB6BE7"/>
    <w:rsid w:val="00AD4480"/>
    <w:rsid w:val="00AD6065"/>
    <w:rsid w:val="00AE381D"/>
    <w:rsid w:val="00AE5D6B"/>
    <w:rsid w:val="00AE7432"/>
    <w:rsid w:val="00AF6081"/>
    <w:rsid w:val="00B0359E"/>
    <w:rsid w:val="00B11EA3"/>
    <w:rsid w:val="00B146B9"/>
    <w:rsid w:val="00B21B43"/>
    <w:rsid w:val="00B254BA"/>
    <w:rsid w:val="00B35C70"/>
    <w:rsid w:val="00B35D13"/>
    <w:rsid w:val="00B50215"/>
    <w:rsid w:val="00B52A34"/>
    <w:rsid w:val="00B52D5F"/>
    <w:rsid w:val="00B64C96"/>
    <w:rsid w:val="00B72423"/>
    <w:rsid w:val="00B753A5"/>
    <w:rsid w:val="00B80337"/>
    <w:rsid w:val="00B872FB"/>
    <w:rsid w:val="00BB02D3"/>
    <w:rsid w:val="00BC20C8"/>
    <w:rsid w:val="00BC4E11"/>
    <w:rsid w:val="00BC6542"/>
    <w:rsid w:val="00BD6E47"/>
    <w:rsid w:val="00BD759A"/>
    <w:rsid w:val="00BD7DDA"/>
    <w:rsid w:val="00BE13B5"/>
    <w:rsid w:val="00BE4DE0"/>
    <w:rsid w:val="00BF00C8"/>
    <w:rsid w:val="00BF4F02"/>
    <w:rsid w:val="00C1535C"/>
    <w:rsid w:val="00C34806"/>
    <w:rsid w:val="00C42BCA"/>
    <w:rsid w:val="00C54B75"/>
    <w:rsid w:val="00C627C4"/>
    <w:rsid w:val="00C62F1A"/>
    <w:rsid w:val="00C7000A"/>
    <w:rsid w:val="00C7225C"/>
    <w:rsid w:val="00C74CC5"/>
    <w:rsid w:val="00C76A72"/>
    <w:rsid w:val="00C9115B"/>
    <w:rsid w:val="00CB1F92"/>
    <w:rsid w:val="00CC1DF6"/>
    <w:rsid w:val="00CC23D0"/>
    <w:rsid w:val="00CD09D6"/>
    <w:rsid w:val="00CF15A5"/>
    <w:rsid w:val="00D03DEA"/>
    <w:rsid w:val="00D20786"/>
    <w:rsid w:val="00D26825"/>
    <w:rsid w:val="00D30E97"/>
    <w:rsid w:val="00D327C8"/>
    <w:rsid w:val="00D42310"/>
    <w:rsid w:val="00D4429E"/>
    <w:rsid w:val="00D479F6"/>
    <w:rsid w:val="00D56013"/>
    <w:rsid w:val="00D5616C"/>
    <w:rsid w:val="00D65A7C"/>
    <w:rsid w:val="00D879A6"/>
    <w:rsid w:val="00D9012B"/>
    <w:rsid w:val="00D90BA9"/>
    <w:rsid w:val="00D9107A"/>
    <w:rsid w:val="00D936AF"/>
    <w:rsid w:val="00DA2880"/>
    <w:rsid w:val="00DA392D"/>
    <w:rsid w:val="00DA5B1F"/>
    <w:rsid w:val="00DB3495"/>
    <w:rsid w:val="00DD69C4"/>
    <w:rsid w:val="00DE1277"/>
    <w:rsid w:val="00DE19EC"/>
    <w:rsid w:val="00DE432D"/>
    <w:rsid w:val="00DF458E"/>
    <w:rsid w:val="00E10E16"/>
    <w:rsid w:val="00E1576E"/>
    <w:rsid w:val="00E25F26"/>
    <w:rsid w:val="00E70460"/>
    <w:rsid w:val="00E804E2"/>
    <w:rsid w:val="00E836A2"/>
    <w:rsid w:val="00E84339"/>
    <w:rsid w:val="00E91CF8"/>
    <w:rsid w:val="00E930BC"/>
    <w:rsid w:val="00E97897"/>
    <w:rsid w:val="00E97E11"/>
    <w:rsid w:val="00EA06FF"/>
    <w:rsid w:val="00EA739D"/>
    <w:rsid w:val="00EB42DD"/>
    <w:rsid w:val="00EC4AFF"/>
    <w:rsid w:val="00EC617F"/>
    <w:rsid w:val="00EC7222"/>
    <w:rsid w:val="00ED5E00"/>
    <w:rsid w:val="00ED61C5"/>
    <w:rsid w:val="00EE0EE8"/>
    <w:rsid w:val="00EE1114"/>
    <w:rsid w:val="00EE34B2"/>
    <w:rsid w:val="00EE54DE"/>
    <w:rsid w:val="00EF3A11"/>
    <w:rsid w:val="00F1193D"/>
    <w:rsid w:val="00F14F87"/>
    <w:rsid w:val="00F16843"/>
    <w:rsid w:val="00F36099"/>
    <w:rsid w:val="00F529C9"/>
    <w:rsid w:val="00F674F0"/>
    <w:rsid w:val="00F70DE4"/>
    <w:rsid w:val="00F72DB0"/>
    <w:rsid w:val="00F861CF"/>
    <w:rsid w:val="00F90B52"/>
    <w:rsid w:val="00F94534"/>
    <w:rsid w:val="00F95888"/>
    <w:rsid w:val="00F95B84"/>
    <w:rsid w:val="00F96521"/>
    <w:rsid w:val="00FA34B5"/>
    <w:rsid w:val="00FA4D87"/>
    <w:rsid w:val="00FA75D3"/>
    <w:rsid w:val="00FB4E7E"/>
    <w:rsid w:val="00FC52DE"/>
    <w:rsid w:val="00FE033C"/>
    <w:rsid w:val="00FE0D07"/>
    <w:rsid w:val="00FE419A"/>
    <w:rsid w:val="00FE7F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03A2351-D0A3-4073-B2F9-6E58E634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4D"/>
    <w:rPr>
      <w:sz w:val="20"/>
      <w:szCs w:val="20"/>
    </w:rPr>
  </w:style>
  <w:style w:type="paragraph" w:styleId="Ttulo1">
    <w:name w:val="heading 1"/>
    <w:basedOn w:val="Normal"/>
    <w:next w:val="Normal"/>
    <w:link w:val="Ttulo1Car"/>
    <w:uiPriority w:val="9"/>
    <w:qFormat/>
    <w:rsid w:val="008F704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8F704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8F704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unhideWhenUsed/>
    <w:qFormat/>
    <w:rsid w:val="008F704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8F704D"/>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8F704D"/>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8F704D"/>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8F704D"/>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8F704D"/>
    <w:pPr>
      <w:spacing w:before="300" w:after="0"/>
      <w:outlineLvl w:val="8"/>
    </w:pPr>
    <w:rPr>
      <w:i/>
      <w:caps/>
      <w:spacing w:val="10"/>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04D"/>
    <w:pPr>
      <w:ind w:left="720"/>
      <w:contextualSpacing/>
    </w:pPr>
  </w:style>
  <w:style w:type="character" w:customStyle="1" w:styleId="Ttulo1Car">
    <w:name w:val="Título 1 Car"/>
    <w:basedOn w:val="Fuentedeprrafopredeter"/>
    <w:link w:val="Ttulo1"/>
    <w:uiPriority w:val="9"/>
    <w:rsid w:val="008F704D"/>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8F704D"/>
    <w:rPr>
      <w:caps/>
      <w:spacing w:val="15"/>
      <w:shd w:val="clear" w:color="auto" w:fill="DBE5F1" w:themeFill="accent1" w:themeFillTint="33"/>
    </w:rPr>
  </w:style>
  <w:style w:type="character" w:customStyle="1" w:styleId="Ttulo3Car">
    <w:name w:val="Título 3 Car"/>
    <w:basedOn w:val="Fuentedeprrafopredeter"/>
    <w:link w:val="Ttulo3"/>
    <w:uiPriority w:val="9"/>
    <w:rsid w:val="008F704D"/>
    <w:rPr>
      <w:caps/>
      <w:color w:val="243F60" w:themeColor="accent1" w:themeShade="7F"/>
      <w:spacing w:val="15"/>
    </w:rPr>
  </w:style>
  <w:style w:type="character" w:customStyle="1" w:styleId="Ttulo4Car">
    <w:name w:val="Título 4 Car"/>
    <w:basedOn w:val="Fuentedeprrafopredeter"/>
    <w:link w:val="Ttulo4"/>
    <w:uiPriority w:val="9"/>
    <w:rsid w:val="008F704D"/>
    <w:rPr>
      <w:caps/>
      <w:color w:val="365F91" w:themeColor="accent1" w:themeShade="BF"/>
      <w:spacing w:val="10"/>
    </w:rPr>
  </w:style>
  <w:style w:type="character" w:customStyle="1" w:styleId="Ttulo5Car">
    <w:name w:val="Título 5 Car"/>
    <w:basedOn w:val="Fuentedeprrafopredeter"/>
    <w:link w:val="Ttulo5"/>
    <w:uiPriority w:val="9"/>
    <w:semiHidden/>
    <w:rsid w:val="008F704D"/>
    <w:rPr>
      <w:caps/>
      <w:color w:val="365F91" w:themeColor="accent1" w:themeShade="BF"/>
      <w:spacing w:val="10"/>
    </w:rPr>
  </w:style>
  <w:style w:type="character" w:customStyle="1" w:styleId="Ttulo6Car">
    <w:name w:val="Título 6 Car"/>
    <w:basedOn w:val="Fuentedeprrafopredeter"/>
    <w:link w:val="Ttulo6"/>
    <w:uiPriority w:val="9"/>
    <w:semiHidden/>
    <w:rsid w:val="008F704D"/>
    <w:rPr>
      <w:caps/>
      <w:color w:val="365F91" w:themeColor="accent1" w:themeShade="BF"/>
      <w:spacing w:val="10"/>
    </w:rPr>
  </w:style>
  <w:style w:type="character" w:customStyle="1" w:styleId="Ttulo7Car">
    <w:name w:val="Título 7 Car"/>
    <w:basedOn w:val="Fuentedeprrafopredeter"/>
    <w:link w:val="Ttulo7"/>
    <w:uiPriority w:val="9"/>
    <w:semiHidden/>
    <w:rsid w:val="008F704D"/>
    <w:rPr>
      <w:caps/>
      <w:color w:val="365F91" w:themeColor="accent1" w:themeShade="BF"/>
      <w:spacing w:val="10"/>
    </w:rPr>
  </w:style>
  <w:style w:type="character" w:customStyle="1" w:styleId="Ttulo8Car">
    <w:name w:val="Título 8 Car"/>
    <w:basedOn w:val="Fuentedeprrafopredeter"/>
    <w:link w:val="Ttulo8"/>
    <w:uiPriority w:val="9"/>
    <w:semiHidden/>
    <w:rsid w:val="008F704D"/>
    <w:rPr>
      <w:caps/>
      <w:spacing w:val="10"/>
      <w:sz w:val="18"/>
      <w:szCs w:val="18"/>
    </w:rPr>
  </w:style>
  <w:style w:type="character" w:customStyle="1" w:styleId="Ttulo9Car">
    <w:name w:val="Título 9 Car"/>
    <w:basedOn w:val="Fuentedeprrafopredeter"/>
    <w:link w:val="Ttulo9"/>
    <w:uiPriority w:val="9"/>
    <w:semiHidden/>
    <w:rsid w:val="008F704D"/>
    <w:rPr>
      <w:i/>
      <w:caps/>
      <w:spacing w:val="10"/>
      <w:sz w:val="18"/>
      <w:szCs w:val="18"/>
    </w:rPr>
  </w:style>
  <w:style w:type="paragraph" w:styleId="Descripcin">
    <w:name w:val="caption"/>
    <w:basedOn w:val="Normal"/>
    <w:next w:val="Normal"/>
    <w:uiPriority w:val="35"/>
    <w:unhideWhenUsed/>
    <w:qFormat/>
    <w:rsid w:val="008F704D"/>
    <w:rPr>
      <w:b/>
      <w:bCs/>
      <w:color w:val="365F91" w:themeColor="accent1" w:themeShade="BF"/>
      <w:sz w:val="16"/>
      <w:szCs w:val="16"/>
    </w:rPr>
  </w:style>
  <w:style w:type="paragraph" w:styleId="Puesto">
    <w:name w:val="Title"/>
    <w:basedOn w:val="Normal"/>
    <w:next w:val="Normal"/>
    <w:link w:val="PuestoCar"/>
    <w:uiPriority w:val="10"/>
    <w:qFormat/>
    <w:rsid w:val="008F704D"/>
    <w:pPr>
      <w:spacing w:before="720"/>
    </w:pPr>
    <w:rPr>
      <w:caps/>
      <w:color w:val="4F81BD" w:themeColor="accent1"/>
      <w:spacing w:val="10"/>
      <w:kern w:val="28"/>
      <w:sz w:val="52"/>
      <w:szCs w:val="52"/>
    </w:rPr>
  </w:style>
  <w:style w:type="character" w:customStyle="1" w:styleId="PuestoCar">
    <w:name w:val="Puesto Car"/>
    <w:basedOn w:val="Fuentedeprrafopredeter"/>
    <w:link w:val="Puesto"/>
    <w:uiPriority w:val="10"/>
    <w:rsid w:val="008F704D"/>
    <w:rPr>
      <w:caps/>
      <w:color w:val="4F81BD" w:themeColor="accent1"/>
      <w:spacing w:val="10"/>
      <w:kern w:val="28"/>
      <w:sz w:val="52"/>
      <w:szCs w:val="52"/>
    </w:rPr>
  </w:style>
  <w:style w:type="paragraph" w:styleId="Subttulo">
    <w:name w:val="Subtitle"/>
    <w:basedOn w:val="Normal"/>
    <w:next w:val="Normal"/>
    <w:link w:val="SubttuloCar"/>
    <w:uiPriority w:val="11"/>
    <w:qFormat/>
    <w:rsid w:val="008F704D"/>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8F704D"/>
    <w:rPr>
      <w:caps/>
      <w:color w:val="595959" w:themeColor="text1" w:themeTint="A6"/>
      <w:spacing w:val="10"/>
      <w:sz w:val="24"/>
      <w:szCs w:val="24"/>
    </w:rPr>
  </w:style>
  <w:style w:type="character" w:styleId="Textoennegrita">
    <w:name w:val="Strong"/>
    <w:uiPriority w:val="22"/>
    <w:qFormat/>
    <w:rsid w:val="008F704D"/>
    <w:rPr>
      <w:b/>
      <w:bCs/>
    </w:rPr>
  </w:style>
  <w:style w:type="character" w:styleId="nfasis">
    <w:name w:val="Emphasis"/>
    <w:uiPriority w:val="20"/>
    <w:qFormat/>
    <w:rsid w:val="008F704D"/>
    <w:rPr>
      <w:caps/>
      <w:color w:val="243F60" w:themeColor="accent1" w:themeShade="7F"/>
      <w:spacing w:val="5"/>
    </w:rPr>
  </w:style>
  <w:style w:type="paragraph" w:styleId="Sinespaciado">
    <w:name w:val="No Spacing"/>
    <w:basedOn w:val="Normal"/>
    <w:link w:val="SinespaciadoCar"/>
    <w:uiPriority w:val="1"/>
    <w:qFormat/>
    <w:rsid w:val="008F704D"/>
    <w:pPr>
      <w:spacing w:before="0" w:after="0" w:line="240" w:lineRule="auto"/>
    </w:pPr>
  </w:style>
  <w:style w:type="character" w:customStyle="1" w:styleId="SinespaciadoCar">
    <w:name w:val="Sin espaciado Car"/>
    <w:basedOn w:val="Fuentedeprrafopredeter"/>
    <w:link w:val="Sinespaciado"/>
    <w:uiPriority w:val="1"/>
    <w:rsid w:val="008F704D"/>
    <w:rPr>
      <w:sz w:val="20"/>
      <w:szCs w:val="20"/>
    </w:rPr>
  </w:style>
  <w:style w:type="paragraph" w:styleId="Cita">
    <w:name w:val="Quote"/>
    <w:basedOn w:val="Normal"/>
    <w:next w:val="Normal"/>
    <w:link w:val="CitaCar"/>
    <w:uiPriority w:val="29"/>
    <w:qFormat/>
    <w:rsid w:val="008F704D"/>
    <w:rPr>
      <w:i/>
      <w:iCs/>
    </w:rPr>
  </w:style>
  <w:style w:type="character" w:customStyle="1" w:styleId="CitaCar">
    <w:name w:val="Cita Car"/>
    <w:basedOn w:val="Fuentedeprrafopredeter"/>
    <w:link w:val="Cita"/>
    <w:uiPriority w:val="29"/>
    <w:rsid w:val="008F704D"/>
    <w:rPr>
      <w:i/>
      <w:iCs/>
      <w:sz w:val="20"/>
      <w:szCs w:val="20"/>
    </w:rPr>
  </w:style>
  <w:style w:type="paragraph" w:styleId="Citadestacada">
    <w:name w:val="Intense Quote"/>
    <w:basedOn w:val="Normal"/>
    <w:next w:val="Normal"/>
    <w:link w:val="CitadestacadaCar"/>
    <w:uiPriority w:val="30"/>
    <w:qFormat/>
    <w:rsid w:val="008F704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8F704D"/>
    <w:rPr>
      <w:i/>
      <w:iCs/>
      <w:color w:val="4F81BD" w:themeColor="accent1"/>
      <w:sz w:val="20"/>
      <w:szCs w:val="20"/>
    </w:rPr>
  </w:style>
  <w:style w:type="character" w:styleId="nfasissutil">
    <w:name w:val="Subtle Emphasis"/>
    <w:uiPriority w:val="19"/>
    <w:qFormat/>
    <w:rsid w:val="008F704D"/>
    <w:rPr>
      <w:i/>
      <w:iCs/>
      <w:color w:val="243F60" w:themeColor="accent1" w:themeShade="7F"/>
    </w:rPr>
  </w:style>
  <w:style w:type="character" w:styleId="nfasisintenso">
    <w:name w:val="Intense Emphasis"/>
    <w:uiPriority w:val="21"/>
    <w:qFormat/>
    <w:rsid w:val="008F704D"/>
    <w:rPr>
      <w:b/>
      <w:bCs/>
      <w:caps/>
      <w:color w:val="243F60" w:themeColor="accent1" w:themeShade="7F"/>
      <w:spacing w:val="10"/>
    </w:rPr>
  </w:style>
  <w:style w:type="character" w:styleId="Referenciasutil">
    <w:name w:val="Subtle Reference"/>
    <w:uiPriority w:val="31"/>
    <w:qFormat/>
    <w:rsid w:val="008F704D"/>
    <w:rPr>
      <w:b/>
      <w:bCs/>
      <w:color w:val="4F81BD" w:themeColor="accent1"/>
    </w:rPr>
  </w:style>
  <w:style w:type="character" w:styleId="Referenciaintensa">
    <w:name w:val="Intense Reference"/>
    <w:uiPriority w:val="32"/>
    <w:qFormat/>
    <w:rsid w:val="008F704D"/>
    <w:rPr>
      <w:b/>
      <w:bCs/>
      <w:i/>
      <w:iCs/>
      <w:caps/>
      <w:color w:val="4F81BD" w:themeColor="accent1"/>
    </w:rPr>
  </w:style>
  <w:style w:type="character" w:styleId="Ttulodellibro">
    <w:name w:val="Book Title"/>
    <w:uiPriority w:val="33"/>
    <w:qFormat/>
    <w:rsid w:val="008F704D"/>
    <w:rPr>
      <w:b/>
      <w:bCs/>
      <w:i/>
      <w:iCs/>
      <w:spacing w:val="9"/>
    </w:rPr>
  </w:style>
  <w:style w:type="paragraph" w:styleId="TtulodeTDC">
    <w:name w:val="TOC Heading"/>
    <w:basedOn w:val="Ttulo1"/>
    <w:next w:val="Normal"/>
    <w:uiPriority w:val="39"/>
    <w:semiHidden/>
    <w:unhideWhenUsed/>
    <w:qFormat/>
    <w:rsid w:val="008F704D"/>
    <w:pPr>
      <w:outlineLvl w:val="9"/>
    </w:pPr>
    <w:rPr>
      <w:lang w:bidi="en-US"/>
    </w:rPr>
  </w:style>
  <w:style w:type="paragraph" w:styleId="Encabezado">
    <w:name w:val="header"/>
    <w:basedOn w:val="Normal"/>
    <w:link w:val="EncabezadoCar"/>
    <w:uiPriority w:val="99"/>
    <w:unhideWhenUsed/>
    <w:rsid w:val="00F95B8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95B84"/>
    <w:rPr>
      <w:sz w:val="20"/>
      <w:szCs w:val="20"/>
    </w:rPr>
  </w:style>
  <w:style w:type="paragraph" w:styleId="Piedepgina">
    <w:name w:val="footer"/>
    <w:basedOn w:val="Normal"/>
    <w:link w:val="PiedepginaCar"/>
    <w:uiPriority w:val="99"/>
    <w:unhideWhenUsed/>
    <w:rsid w:val="00F95B8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95B84"/>
    <w:rPr>
      <w:sz w:val="20"/>
      <w:szCs w:val="20"/>
    </w:rPr>
  </w:style>
  <w:style w:type="paragraph" w:styleId="Textonotapie">
    <w:name w:val="footnote text"/>
    <w:basedOn w:val="Normal"/>
    <w:link w:val="TextonotapieCar"/>
    <w:uiPriority w:val="99"/>
    <w:semiHidden/>
    <w:unhideWhenUsed/>
    <w:rsid w:val="00337734"/>
    <w:pPr>
      <w:spacing w:before="0" w:after="0" w:line="240" w:lineRule="auto"/>
      <w:jc w:val="both"/>
    </w:pPr>
    <w:rPr>
      <w:rFonts w:ascii="Calibri Light" w:eastAsiaTheme="minorHAnsi" w:hAnsi="Calibri Light"/>
      <w:color w:val="262626" w:themeColor="text1" w:themeTint="D9"/>
      <w:lang w:eastAsia="en-US"/>
    </w:rPr>
  </w:style>
  <w:style w:type="character" w:customStyle="1" w:styleId="TextonotapieCar">
    <w:name w:val="Texto nota pie Car"/>
    <w:basedOn w:val="Fuentedeprrafopredeter"/>
    <w:link w:val="Textonotapie"/>
    <w:uiPriority w:val="99"/>
    <w:semiHidden/>
    <w:rsid w:val="00337734"/>
    <w:rPr>
      <w:rFonts w:ascii="Calibri Light" w:eastAsiaTheme="minorHAnsi" w:hAnsi="Calibri Light"/>
      <w:color w:val="262626" w:themeColor="text1" w:themeTint="D9"/>
      <w:sz w:val="20"/>
      <w:szCs w:val="20"/>
      <w:lang w:eastAsia="en-US"/>
    </w:rPr>
  </w:style>
  <w:style w:type="character" w:styleId="Refdenotaalpie">
    <w:name w:val="footnote reference"/>
    <w:basedOn w:val="Fuentedeprrafopredeter"/>
    <w:uiPriority w:val="99"/>
    <w:semiHidden/>
    <w:unhideWhenUsed/>
    <w:rsid w:val="00337734"/>
    <w:rPr>
      <w:vertAlign w:val="superscript"/>
    </w:rPr>
  </w:style>
  <w:style w:type="paragraph" w:styleId="Textodeglobo">
    <w:name w:val="Balloon Text"/>
    <w:basedOn w:val="Normal"/>
    <w:link w:val="TextodegloboCar"/>
    <w:uiPriority w:val="99"/>
    <w:semiHidden/>
    <w:unhideWhenUsed/>
    <w:rsid w:val="00300BF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BFF"/>
    <w:rPr>
      <w:rFonts w:ascii="Tahoma" w:hAnsi="Tahoma" w:cs="Tahoma"/>
      <w:sz w:val="16"/>
      <w:szCs w:val="16"/>
    </w:rPr>
  </w:style>
  <w:style w:type="character" w:styleId="Refdecomentario">
    <w:name w:val="annotation reference"/>
    <w:basedOn w:val="Fuentedeprrafopredeter"/>
    <w:uiPriority w:val="99"/>
    <w:semiHidden/>
    <w:unhideWhenUsed/>
    <w:rsid w:val="006A7704"/>
    <w:rPr>
      <w:sz w:val="16"/>
      <w:szCs w:val="16"/>
    </w:rPr>
  </w:style>
  <w:style w:type="paragraph" w:styleId="Textocomentario">
    <w:name w:val="annotation text"/>
    <w:basedOn w:val="Normal"/>
    <w:link w:val="TextocomentarioCar"/>
    <w:uiPriority w:val="99"/>
    <w:unhideWhenUsed/>
    <w:rsid w:val="006A7704"/>
    <w:pPr>
      <w:spacing w:line="240" w:lineRule="auto"/>
    </w:pPr>
    <w:rPr>
      <w:lang w:eastAsia="en-US"/>
    </w:rPr>
  </w:style>
  <w:style w:type="character" w:customStyle="1" w:styleId="TextocomentarioCar">
    <w:name w:val="Texto comentario Car"/>
    <w:basedOn w:val="Fuentedeprrafopredeter"/>
    <w:link w:val="Textocomentario"/>
    <w:uiPriority w:val="99"/>
    <w:rsid w:val="006A7704"/>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78409A"/>
    <w:rPr>
      <w:b/>
      <w:bCs/>
      <w:lang w:eastAsia="es-CL"/>
    </w:rPr>
  </w:style>
  <w:style w:type="character" w:customStyle="1" w:styleId="AsuntodelcomentarioCar">
    <w:name w:val="Asunto del comentario Car"/>
    <w:basedOn w:val="TextocomentarioCar"/>
    <w:link w:val="Asuntodelcomentario"/>
    <w:uiPriority w:val="99"/>
    <w:semiHidden/>
    <w:rsid w:val="0078409A"/>
    <w:rPr>
      <w:b/>
      <w:bCs/>
      <w:sz w:val="20"/>
      <w:szCs w:val="20"/>
      <w:lang w:eastAsia="en-US"/>
    </w:rPr>
  </w:style>
  <w:style w:type="paragraph" w:styleId="Revisin">
    <w:name w:val="Revision"/>
    <w:hidden/>
    <w:uiPriority w:val="99"/>
    <w:semiHidden/>
    <w:rsid w:val="00AF6081"/>
    <w:pPr>
      <w:spacing w:before="0" w:after="0" w:line="240" w:lineRule="auto"/>
    </w:pPr>
    <w:rPr>
      <w:sz w:val="20"/>
      <w:szCs w:val="20"/>
    </w:rPr>
  </w:style>
  <w:style w:type="character" w:styleId="Hipervnculo">
    <w:name w:val="Hyperlink"/>
    <w:basedOn w:val="Fuentedeprrafopredeter"/>
    <w:uiPriority w:val="99"/>
    <w:semiHidden/>
    <w:unhideWhenUsed/>
    <w:rsid w:val="00E836A2"/>
    <w:rPr>
      <w:color w:val="0000FF"/>
      <w:u w:val="single"/>
    </w:rPr>
  </w:style>
  <w:style w:type="character" w:customStyle="1" w:styleId="apple-converted-space">
    <w:name w:val="apple-converted-space"/>
    <w:basedOn w:val="Fuentedeprrafopredeter"/>
    <w:rsid w:val="00ED61C5"/>
  </w:style>
  <w:style w:type="paragraph" w:styleId="NormalWeb">
    <w:name w:val="Normal (Web)"/>
    <w:basedOn w:val="Normal"/>
    <w:uiPriority w:val="99"/>
    <w:unhideWhenUsed/>
    <w:rsid w:val="00ED61C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CC23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7403">
      <w:bodyDiv w:val="1"/>
      <w:marLeft w:val="0"/>
      <w:marRight w:val="0"/>
      <w:marTop w:val="0"/>
      <w:marBottom w:val="0"/>
      <w:divBdr>
        <w:top w:val="none" w:sz="0" w:space="0" w:color="auto"/>
        <w:left w:val="none" w:sz="0" w:space="0" w:color="auto"/>
        <w:bottom w:val="none" w:sz="0" w:space="0" w:color="auto"/>
        <w:right w:val="none" w:sz="0" w:space="0" w:color="auto"/>
      </w:divBdr>
      <w:divsChild>
        <w:div w:id="1526553216">
          <w:marLeft w:val="547"/>
          <w:marRight w:val="0"/>
          <w:marTop w:val="0"/>
          <w:marBottom w:val="0"/>
          <w:divBdr>
            <w:top w:val="none" w:sz="0" w:space="0" w:color="auto"/>
            <w:left w:val="none" w:sz="0" w:space="0" w:color="auto"/>
            <w:bottom w:val="none" w:sz="0" w:space="0" w:color="auto"/>
            <w:right w:val="none" w:sz="0" w:space="0" w:color="auto"/>
          </w:divBdr>
        </w:div>
      </w:divsChild>
    </w:div>
    <w:div w:id="377054974">
      <w:bodyDiv w:val="1"/>
      <w:marLeft w:val="0"/>
      <w:marRight w:val="0"/>
      <w:marTop w:val="0"/>
      <w:marBottom w:val="0"/>
      <w:divBdr>
        <w:top w:val="none" w:sz="0" w:space="0" w:color="auto"/>
        <w:left w:val="none" w:sz="0" w:space="0" w:color="auto"/>
        <w:bottom w:val="none" w:sz="0" w:space="0" w:color="auto"/>
        <w:right w:val="none" w:sz="0" w:space="0" w:color="auto"/>
      </w:divBdr>
    </w:div>
    <w:div w:id="541139552">
      <w:bodyDiv w:val="1"/>
      <w:marLeft w:val="0"/>
      <w:marRight w:val="0"/>
      <w:marTop w:val="0"/>
      <w:marBottom w:val="0"/>
      <w:divBdr>
        <w:top w:val="none" w:sz="0" w:space="0" w:color="auto"/>
        <w:left w:val="none" w:sz="0" w:space="0" w:color="auto"/>
        <w:bottom w:val="none" w:sz="0" w:space="0" w:color="auto"/>
        <w:right w:val="none" w:sz="0" w:space="0" w:color="auto"/>
      </w:divBdr>
      <w:divsChild>
        <w:div w:id="1658459262">
          <w:marLeft w:val="547"/>
          <w:marRight w:val="0"/>
          <w:marTop w:val="0"/>
          <w:marBottom w:val="0"/>
          <w:divBdr>
            <w:top w:val="none" w:sz="0" w:space="0" w:color="auto"/>
            <w:left w:val="none" w:sz="0" w:space="0" w:color="auto"/>
            <w:bottom w:val="none" w:sz="0" w:space="0" w:color="auto"/>
            <w:right w:val="none" w:sz="0" w:space="0" w:color="auto"/>
          </w:divBdr>
        </w:div>
        <w:div w:id="2053916985">
          <w:marLeft w:val="547"/>
          <w:marRight w:val="0"/>
          <w:marTop w:val="0"/>
          <w:marBottom w:val="0"/>
          <w:divBdr>
            <w:top w:val="none" w:sz="0" w:space="0" w:color="auto"/>
            <w:left w:val="none" w:sz="0" w:space="0" w:color="auto"/>
            <w:bottom w:val="none" w:sz="0" w:space="0" w:color="auto"/>
            <w:right w:val="none" w:sz="0" w:space="0" w:color="auto"/>
          </w:divBdr>
        </w:div>
        <w:div w:id="298148244">
          <w:marLeft w:val="547"/>
          <w:marRight w:val="0"/>
          <w:marTop w:val="0"/>
          <w:marBottom w:val="0"/>
          <w:divBdr>
            <w:top w:val="none" w:sz="0" w:space="0" w:color="auto"/>
            <w:left w:val="none" w:sz="0" w:space="0" w:color="auto"/>
            <w:bottom w:val="none" w:sz="0" w:space="0" w:color="auto"/>
            <w:right w:val="none" w:sz="0" w:space="0" w:color="auto"/>
          </w:divBdr>
        </w:div>
      </w:divsChild>
    </w:div>
    <w:div w:id="960187154">
      <w:bodyDiv w:val="1"/>
      <w:marLeft w:val="0"/>
      <w:marRight w:val="0"/>
      <w:marTop w:val="0"/>
      <w:marBottom w:val="0"/>
      <w:divBdr>
        <w:top w:val="none" w:sz="0" w:space="0" w:color="auto"/>
        <w:left w:val="none" w:sz="0" w:space="0" w:color="auto"/>
        <w:bottom w:val="none" w:sz="0" w:space="0" w:color="auto"/>
        <w:right w:val="none" w:sz="0" w:space="0" w:color="auto"/>
      </w:divBdr>
    </w:div>
    <w:div w:id="1046294770">
      <w:bodyDiv w:val="1"/>
      <w:marLeft w:val="0"/>
      <w:marRight w:val="0"/>
      <w:marTop w:val="0"/>
      <w:marBottom w:val="0"/>
      <w:divBdr>
        <w:top w:val="none" w:sz="0" w:space="0" w:color="auto"/>
        <w:left w:val="none" w:sz="0" w:space="0" w:color="auto"/>
        <w:bottom w:val="none" w:sz="0" w:space="0" w:color="auto"/>
        <w:right w:val="none" w:sz="0" w:space="0" w:color="auto"/>
      </w:divBdr>
      <w:divsChild>
        <w:div w:id="217858998">
          <w:marLeft w:val="547"/>
          <w:marRight w:val="0"/>
          <w:marTop w:val="0"/>
          <w:marBottom w:val="0"/>
          <w:divBdr>
            <w:top w:val="none" w:sz="0" w:space="0" w:color="auto"/>
            <w:left w:val="none" w:sz="0" w:space="0" w:color="auto"/>
            <w:bottom w:val="none" w:sz="0" w:space="0" w:color="auto"/>
            <w:right w:val="none" w:sz="0" w:space="0" w:color="auto"/>
          </w:divBdr>
        </w:div>
      </w:divsChild>
    </w:div>
    <w:div w:id="1115175908">
      <w:bodyDiv w:val="1"/>
      <w:marLeft w:val="0"/>
      <w:marRight w:val="0"/>
      <w:marTop w:val="0"/>
      <w:marBottom w:val="0"/>
      <w:divBdr>
        <w:top w:val="none" w:sz="0" w:space="0" w:color="auto"/>
        <w:left w:val="none" w:sz="0" w:space="0" w:color="auto"/>
        <w:bottom w:val="none" w:sz="0" w:space="0" w:color="auto"/>
        <w:right w:val="none" w:sz="0" w:space="0" w:color="auto"/>
      </w:divBdr>
    </w:div>
    <w:div w:id="1127550736">
      <w:bodyDiv w:val="1"/>
      <w:marLeft w:val="0"/>
      <w:marRight w:val="0"/>
      <w:marTop w:val="0"/>
      <w:marBottom w:val="0"/>
      <w:divBdr>
        <w:top w:val="none" w:sz="0" w:space="0" w:color="auto"/>
        <w:left w:val="none" w:sz="0" w:space="0" w:color="auto"/>
        <w:bottom w:val="none" w:sz="0" w:space="0" w:color="auto"/>
        <w:right w:val="none" w:sz="0" w:space="0" w:color="auto"/>
      </w:divBdr>
    </w:div>
    <w:div w:id="1844274452">
      <w:bodyDiv w:val="1"/>
      <w:marLeft w:val="0"/>
      <w:marRight w:val="0"/>
      <w:marTop w:val="0"/>
      <w:marBottom w:val="0"/>
      <w:divBdr>
        <w:top w:val="none" w:sz="0" w:space="0" w:color="auto"/>
        <w:left w:val="none" w:sz="0" w:space="0" w:color="auto"/>
        <w:bottom w:val="none" w:sz="0" w:space="0" w:color="auto"/>
        <w:right w:val="none" w:sz="0" w:space="0" w:color="auto"/>
      </w:divBdr>
    </w:div>
    <w:div w:id="1929654780">
      <w:bodyDiv w:val="1"/>
      <w:marLeft w:val="0"/>
      <w:marRight w:val="0"/>
      <w:marTop w:val="0"/>
      <w:marBottom w:val="0"/>
      <w:divBdr>
        <w:top w:val="none" w:sz="0" w:space="0" w:color="auto"/>
        <w:left w:val="none" w:sz="0" w:space="0" w:color="auto"/>
        <w:bottom w:val="none" w:sz="0" w:space="0" w:color="auto"/>
        <w:right w:val="none" w:sz="0" w:space="0" w:color="auto"/>
      </w:divBdr>
    </w:div>
    <w:div w:id="19540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D714-120A-4E2C-83C6-048E02CF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3450</Words>
  <Characters>18979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Zuñiga Fica</dc:creator>
  <cp:lastModifiedBy>Claudio Contreras Donoso</cp:lastModifiedBy>
  <cp:revision>11</cp:revision>
  <cp:lastPrinted>2017-03-15T19:02:00Z</cp:lastPrinted>
  <dcterms:created xsi:type="dcterms:W3CDTF">2017-03-14T21:17:00Z</dcterms:created>
  <dcterms:modified xsi:type="dcterms:W3CDTF">2017-03-15T20:01:00Z</dcterms:modified>
</cp:coreProperties>
</file>